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4851B">
      <w:pPr>
        <w:spacing w:line="276" w:lineRule="auto"/>
        <w:jc w:val="center"/>
        <w:rPr>
          <w:rFonts w:hint="eastAsia"/>
          <w:b/>
          <w:sz w:val="32"/>
          <w:szCs w:val="32"/>
        </w:rPr>
      </w:pPr>
      <w:bookmarkStart w:id="0" w:name="_Toc933"/>
      <w:r>
        <w:rPr>
          <w:rFonts w:hint="eastAsia"/>
          <w:b/>
          <w:sz w:val="32"/>
          <w:szCs w:val="32"/>
        </w:rPr>
        <w:t>采购需求（货物类）</w:t>
      </w:r>
    </w:p>
    <w:p w14:paraId="4A2BCBCB">
      <w:pPr>
        <w:rPr>
          <w:rFonts w:hint="eastAsia"/>
          <w:b/>
        </w:rPr>
      </w:pPr>
      <w:r>
        <w:rPr>
          <w:b/>
        </w:rPr>
        <w:t>一、概况</w:t>
      </w:r>
    </w:p>
    <w:tbl>
      <w:tblPr>
        <w:tblStyle w:val="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395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E4DC8A3">
            <w:pPr>
              <w:keepNext w:val="0"/>
              <w:keepLines w:val="0"/>
              <w:suppressLineNumbers w:val="0"/>
              <w:spacing w:before="0" w:beforeAutospacing="0" w:afterAutospacing="0"/>
              <w:ind w:left="0" w:right="0"/>
              <w:jc w:val="center"/>
              <w:rPr>
                <w:rFonts w:hint="eastAsia"/>
                <w:b/>
                <w:bCs/>
              </w:rPr>
            </w:pPr>
            <w:r>
              <w:rPr>
                <w:rFonts w:hint="default"/>
                <w:b/>
                <w:bCs/>
              </w:rPr>
              <w:t>项目名称</w:t>
            </w:r>
          </w:p>
        </w:tc>
        <w:tc>
          <w:tcPr>
            <w:tcW w:w="6458" w:type="dxa"/>
          </w:tcPr>
          <w:p w14:paraId="6ECCA300">
            <w:pPr>
              <w:keepNext w:val="0"/>
              <w:keepLines w:val="0"/>
              <w:suppressLineNumbers w:val="0"/>
              <w:spacing w:before="0" w:beforeAutospacing="0" w:afterAutospacing="0"/>
              <w:ind w:left="0" w:right="0"/>
              <w:rPr>
                <w:rFonts w:hint="eastAsia"/>
              </w:rPr>
            </w:pPr>
            <w:r>
              <w:rPr>
                <w:rFonts w:hint="default"/>
              </w:rPr>
              <w:t>大禹网安现代产业学院产业班研习空间建设</w:t>
            </w:r>
          </w:p>
        </w:tc>
      </w:tr>
      <w:tr w14:paraId="751D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33C8D67">
            <w:pPr>
              <w:keepNext w:val="0"/>
              <w:keepLines w:val="0"/>
              <w:suppressLineNumbers w:val="0"/>
              <w:spacing w:before="0" w:beforeAutospacing="0" w:afterAutospacing="0"/>
              <w:ind w:left="0" w:right="0"/>
              <w:jc w:val="center"/>
              <w:rPr>
                <w:rFonts w:hint="eastAsia"/>
                <w:b/>
                <w:bCs/>
              </w:rPr>
            </w:pPr>
            <w:r>
              <w:rPr>
                <w:rFonts w:hint="eastAsia"/>
                <w:b/>
                <w:bCs/>
              </w:rPr>
              <w:t>项目描述</w:t>
            </w:r>
          </w:p>
        </w:tc>
        <w:tc>
          <w:tcPr>
            <w:tcW w:w="6458" w:type="dxa"/>
          </w:tcPr>
          <w:p w14:paraId="05F39A18">
            <w:pPr>
              <w:keepNext w:val="0"/>
              <w:keepLines w:val="0"/>
              <w:suppressLineNumbers w:val="0"/>
              <w:spacing w:before="0" w:beforeAutospacing="0" w:afterAutospacing="0"/>
              <w:ind w:left="0" w:right="0"/>
              <w:rPr>
                <w:rFonts w:hint="eastAsia"/>
              </w:rPr>
            </w:pPr>
            <w:r>
              <w:rPr>
                <w:rFonts w:hint="default"/>
              </w:rPr>
              <w:t>采购</w:t>
            </w:r>
            <w:r>
              <w:rPr>
                <w:rFonts w:hint="eastAsia"/>
              </w:rPr>
              <w:t>用于攻防实验的网络</w:t>
            </w:r>
            <w:r>
              <w:rPr>
                <w:rFonts w:hint="default"/>
              </w:rPr>
              <w:t>设备，并改造机房的电源和网络工程</w:t>
            </w:r>
          </w:p>
        </w:tc>
      </w:tr>
      <w:tr w14:paraId="4CE3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0C826316">
            <w:pPr>
              <w:keepNext w:val="0"/>
              <w:keepLines w:val="0"/>
              <w:suppressLineNumbers w:val="0"/>
              <w:spacing w:before="0" w:beforeAutospacing="0" w:afterAutospacing="0"/>
              <w:ind w:left="0" w:right="0"/>
              <w:jc w:val="center"/>
              <w:rPr>
                <w:rFonts w:hint="eastAsia"/>
                <w:b/>
                <w:bCs/>
              </w:rPr>
            </w:pPr>
            <w:r>
              <w:rPr>
                <w:rFonts w:hint="eastAsia"/>
                <w:b/>
                <w:bCs/>
              </w:rPr>
              <w:t>预算金额（万）</w:t>
            </w:r>
          </w:p>
        </w:tc>
        <w:tc>
          <w:tcPr>
            <w:tcW w:w="6458" w:type="dxa"/>
          </w:tcPr>
          <w:p w14:paraId="56EBA08E">
            <w:pPr>
              <w:keepNext w:val="0"/>
              <w:keepLines w:val="0"/>
              <w:suppressLineNumbers w:val="0"/>
              <w:spacing w:before="0" w:beforeAutospacing="0" w:afterAutospacing="0"/>
              <w:ind w:left="0" w:right="0"/>
              <w:rPr>
                <w:rFonts w:hint="eastAsia"/>
              </w:rPr>
            </w:pPr>
            <w:r>
              <w:rPr>
                <w:rFonts w:hint="eastAsia"/>
              </w:rPr>
              <w:t>18万</w:t>
            </w:r>
          </w:p>
        </w:tc>
      </w:tr>
      <w:tr w14:paraId="7274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2D10BB9">
            <w:pPr>
              <w:keepNext w:val="0"/>
              <w:keepLines w:val="0"/>
              <w:suppressLineNumbers w:val="0"/>
              <w:spacing w:before="0" w:beforeAutospacing="0" w:afterAutospacing="0"/>
              <w:ind w:left="0" w:right="0"/>
              <w:jc w:val="center"/>
              <w:rPr>
                <w:rFonts w:hint="eastAsia"/>
                <w:b/>
                <w:bCs/>
              </w:rPr>
            </w:pPr>
            <w:r>
              <w:rPr>
                <w:rFonts w:hint="eastAsia"/>
                <w:b/>
                <w:bCs/>
              </w:rPr>
              <w:t>项目实施周期</w:t>
            </w:r>
          </w:p>
        </w:tc>
        <w:tc>
          <w:tcPr>
            <w:tcW w:w="6458" w:type="dxa"/>
          </w:tcPr>
          <w:p w14:paraId="2FF4F813">
            <w:pPr>
              <w:keepNext w:val="0"/>
              <w:keepLines w:val="0"/>
              <w:suppressLineNumbers w:val="0"/>
              <w:spacing w:before="0" w:beforeAutospacing="0" w:afterAutospacing="0"/>
              <w:ind w:left="0" w:right="0"/>
              <w:rPr>
                <w:rFonts w:hint="eastAsia"/>
              </w:rPr>
            </w:pPr>
            <w:r>
              <w:rPr>
                <w:rFonts w:hint="eastAsia"/>
              </w:rPr>
              <w:t>1个月</w:t>
            </w:r>
          </w:p>
        </w:tc>
      </w:tr>
    </w:tbl>
    <w:p w14:paraId="2E02B81A">
      <w:pPr>
        <w:spacing w:line="276" w:lineRule="auto"/>
        <w:rPr>
          <w:rFonts w:hint="eastAsia"/>
          <w:b/>
        </w:rPr>
      </w:pPr>
      <w:r>
        <w:rPr>
          <w:rFonts w:hint="eastAsia"/>
          <w:b/>
        </w:rPr>
        <w:t>二、采购清单</w:t>
      </w:r>
    </w:p>
    <w:tbl>
      <w:tblPr>
        <w:tblStyle w:val="8"/>
        <w:tblW w:w="8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92"/>
        <w:gridCol w:w="2543"/>
        <w:gridCol w:w="675"/>
        <w:gridCol w:w="825"/>
        <w:gridCol w:w="1359"/>
        <w:gridCol w:w="949"/>
      </w:tblGrid>
      <w:tr w14:paraId="734A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35" w:type="dxa"/>
            <w:vAlign w:val="center"/>
          </w:tcPr>
          <w:p w14:paraId="21B9D724">
            <w:pPr>
              <w:keepNext w:val="0"/>
              <w:keepLines w:val="0"/>
              <w:suppressLineNumbers w:val="0"/>
              <w:spacing w:before="0" w:beforeAutospacing="0" w:afterAutospacing="0" w:line="276" w:lineRule="auto"/>
              <w:ind w:left="0" w:right="0"/>
              <w:rPr>
                <w:rFonts w:hint="eastAsia"/>
                <w:b/>
              </w:rPr>
            </w:pPr>
            <w:r>
              <w:rPr>
                <w:rFonts w:hint="eastAsia"/>
                <w:b/>
              </w:rPr>
              <w:t>序号</w:t>
            </w:r>
          </w:p>
        </w:tc>
        <w:tc>
          <w:tcPr>
            <w:tcW w:w="1192" w:type="dxa"/>
            <w:vAlign w:val="center"/>
          </w:tcPr>
          <w:p w14:paraId="3BBB620E">
            <w:pPr>
              <w:keepNext w:val="0"/>
              <w:keepLines w:val="0"/>
              <w:suppressLineNumbers w:val="0"/>
              <w:spacing w:before="0" w:beforeAutospacing="0" w:afterAutospacing="0" w:line="276" w:lineRule="auto"/>
              <w:ind w:left="0" w:right="0"/>
              <w:rPr>
                <w:rFonts w:hint="eastAsia"/>
                <w:b/>
              </w:rPr>
            </w:pPr>
            <w:r>
              <w:rPr>
                <w:rFonts w:hint="eastAsia"/>
                <w:b/>
              </w:rPr>
              <w:t>货物名称</w:t>
            </w:r>
          </w:p>
        </w:tc>
        <w:tc>
          <w:tcPr>
            <w:tcW w:w="2543" w:type="dxa"/>
            <w:vAlign w:val="center"/>
          </w:tcPr>
          <w:p w14:paraId="53065023">
            <w:pPr>
              <w:keepNext w:val="0"/>
              <w:keepLines w:val="0"/>
              <w:suppressLineNumbers w:val="0"/>
              <w:spacing w:before="0" w:beforeAutospacing="0" w:afterAutospacing="0" w:line="276" w:lineRule="auto"/>
              <w:ind w:left="0" w:right="0"/>
              <w:rPr>
                <w:rFonts w:hint="eastAsia"/>
                <w:b/>
              </w:rPr>
            </w:pPr>
            <w:r>
              <w:rPr>
                <w:rFonts w:hint="eastAsia"/>
                <w:b/>
              </w:rPr>
              <w:t>主要技术参数及配置要求</w:t>
            </w:r>
          </w:p>
        </w:tc>
        <w:tc>
          <w:tcPr>
            <w:tcW w:w="675" w:type="dxa"/>
            <w:vAlign w:val="center"/>
          </w:tcPr>
          <w:p w14:paraId="4E5662CA">
            <w:pPr>
              <w:keepNext w:val="0"/>
              <w:keepLines w:val="0"/>
              <w:suppressLineNumbers w:val="0"/>
              <w:spacing w:before="0" w:beforeAutospacing="0" w:afterAutospacing="0" w:line="276" w:lineRule="auto"/>
              <w:ind w:left="0" w:right="0"/>
              <w:rPr>
                <w:rFonts w:hint="eastAsia"/>
                <w:b/>
              </w:rPr>
            </w:pPr>
            <w:r>
              <w:rPr>
                <w:rFonts w:hint="eastAsia"/>
                <w:b/>
              </w:rPr>
              <w:t>数量</w:t>
            </w:r>
          </w:p>
        </w:tc>
        <w:tc>
          <w:tcPr>
            <w:tcW w:w="825" w:type="dxa"/>
            <w:vAlign w:val="center"/>
          </w:tcPr>
          <w:p w14:paraId="29EAF063">
            <w:pPr>
              <w:keepNext w:val="0"/>
              <w:keepLines w:val="0"/>
              <w:suppressLineNumbers w:val="0"/>
              <w:spacing w:before="0" w:beforeAutospacing="0" w:afterAutospacing="0" w:line="276" w:lineRule="auto"/>
              <w:ind w:left="0" w:right="0"/>
              <w:rPr>
                <w:rFonts w:hint="eastAsia"/>
                <w:b/>
              </w:rPr>
            </w:pPr>
            <w:r>
              <w:rPr>
                <w:rFonts w:hint="eastAsia"/>
                <w:b/>
              </w:rPr>
              <w:t>单位</w:t>
            </w:r>
          </w:p>
        </w:tc>
        <w:tc>
          <w:tcPr>
            <w:tcW w:w="1359" w:type="dxa"/>
            <w:vAlign w:val="center"/>
          </w:tcPr>
          <w:p w14:paraId="15339317">
            <w:pPr>
              <w:keepNext w:val="0"/>
              <w:keepLines w:val="0"/>
              <w:suppressLineNumbers w:val="0"/>
              <w:spacing w:before="0" w:beforeAutospacing="0" w:afterAutospacing="0" w:line="240" w:lineRule="exact"/>
              <w:ind w:left="0" w:right="0"/>
              <w:rPr>
                <w:rFonts w:hint="eastAsia"/>
                <w:b/>
              </w:rPr>
            </w:pPr>
            <w:r>
              <w:rPr>
                <w:rFonts w:hint="eastAsia"/>
                <w:b/>
                <w:color w:val="000000" w:themeColor="text1"/>
                <w14:textFill>
                  <w14:solidFill>
                    <w14:schemeClr w14:val="tx1"/>
                  </w14:solidFill>
                </w14:textFill>
              </w:rPr>
              <w:t>参考品牌</w:t>
            </w:r>
          </w:p>
        </w:tc>
        <w:tc>
          <w:tcPr>
            <w:tcW w:w="949" w:type="dxa"/>
            <w:vAlign w:val="center"/>
          </w:tcPr>
          <w:p w14:paraId="6710402F">
            <w:pPr>
              <w:keepNext w:val="0"/>
              <w:keepLines w:val="0"/>
              <w:suppressLineNumbers w:val="0"/>
              <w:spacing w:before="0" w:beforeAutospacing="0" w:afterAutospacing="0" w:line="276" w:lineRule="auto"/>
              <w:ind w:left="0" w:right="0"/>
              <w:rPr>
                <w:rFonts w:hint="eastAsia"/>
                <w:b/>
              </w:rPr>
            </w:pPr>
            <w:r>
              <w:rPr>
                <w:rFonts w:hint="eastAsia"/>
                <w:b/>
              </w:rPr>
              <w:t>备注</w:t>
            </w:r>
          </w:p>
        </w:tc>
      </w:tr>
      <w:tr w14:paraId="5577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5" w:type="dxa"/>
            <w:vAlign w:val="center"/>
          </w:tcPr>
          <w:p w14:paraId="2F95D5E7">
            <w:pPr>
              <w:keepNext w:val="0"/>
              <w:keepLines w:val="0"/>
              <w:suppressLineNumbers w:val="0"/>
              <w:spacing w:before="0" w:beforeAutospacing="0" w:afterAutospacing="0" w:line="276" w:lineRule="auto"/>
              <w:ind w:left="0" w:right="0"/>
              <w:rPr>
                <w:rFonts w:hint="eastAsia"/>
                <w:b/>
              </w:rPr>
            </w:pPr>
            <w:r>
              <w:rPr>
                <w:rFonts w:hint="eastAsia"/>
                <w:bCs/>
              </w:rPr>
              <w:t>1</w:t>
            </w:r>
          </w:p>
        </w:tc>
        <w:tc>
          <w:tcPr>
            <w:tcW w:w="1192" w:type="dxa"/>
            <w:vAlign w:val="center"/>
          </w:tcPr>
          <w:p w14:paraId="5047F4F5">
            <w:pPr>
              <w:keepNext w:val="0"/>
              <w:keepLines w:val="0"/>
              <w:suppressLineNumbers w:val="0"/>
              <w:spacing w:before="0" w:beforeAutospacing="0" w:afterAutospacing="0" w:line="276" w:lineRule="auto"/>
              <w:ind w:left="0" w:right="0"/>
              <w:rPr>
                <w:rFonts w:hint="eastAsia"/>
                <w:b/>
              </w:rPr>
            </w:pPr>
            <w:r>
              <w:rPr>
                <w:rFonts w:hint="eastAsia"/>
                <w:bCs/>
              </w:rPr>
              <w:t>服务器</w:t>
            </w:r>
          </w:p>
        </w:tc>
        <w:tc>
          <w:tcPr>
            <w:tcW w:w="2543" w:type="dxa"/>
            <w:vAlign w:val="center"/>
          </w:tcPr>
          <w:p w14:paraId="23BD544B">
            <w:pPr>
              <w:keepNext w:val="0"/>
              <w:keepLines w:val="0"/>
              <w:suppressLineNumbers w:val="0"/>
              <w:spacing w:before="0" w:beforeAutospacing="0" w:afterAutospacing="0" w:line="276" w:lineRule="auto"/>
              <w:ind w:left="0" w:right="0"/>
              <w:rPr>
                <w:rFonts w:hint="eastAsia"/>
                <w:bCs/>
              </w:rPr>
            </w:pPr>
            <w:r>
              <w:rPr>
                <w:rFonts w:hint="eastAsia"/>
                <w:bCs/>
              </w:rPr>
              <w:t>2U机架式服务器；</w:t>
            </w:r>
          </w:p>
          <w:p w14:paraId="4F039A01">
            <w:pPr>
              <w:keepNext w:val="0"/>
              <w:keepLines w:val="0"/>
              <w:suppressLineNumbers w:val="0"/>
              <w:spacing w:before="0" w:beforeAutospacing="0" w:afterAutospacing="0" w:line="276" w:lineRule="auto"/>
              <w:ind w:left="0" w:right="0"/>
              <w:rPr>
                <w:rFonts w:hint="eastAsia"/>
                <w:bCs/>
              </w:rPr>
            </w:pPr>
            <w:r>
              <w:rPr>
                <w:rFonts w:hint="eastAsia"/>
                <w:bCs/>
              </w:rPr>
              <w:t xml:space="preserve">CPU：配置2个X86架构处理器，每颗CPU核心≥28核，线程≥56，主频≥2.0GHz，TDP≥205W处理器，支持AVX 512指令集； </w:t>
            </w:r>
          </w:p>
          <w:p w14:paraId="15B8E6AB">
            <w:pPr>
              <w:keepNext w:val="0"/>
              <w:keepLines w:val="0"/>
              <w:suppressLineNumbers w:val="0"/>
              <w:spacing w:before="0" w:beforeAutospacing="0" w:afterAutospacing="0" w:line="276" w:lineRule="auto"/>
              <w:ind w:left="0" w:right="0"/>
              <w:rPr>
                <w:rFonts w:hint="eastAsia"/>
                <w:bCs/>
              </w:rPr>
            </w:pPr>
            <w:r>
              <w:rPr>
                <w:rFonts w:hint="eastAsia"/>
                <w:bCs/>
              </w:rPr>
              <w:t>内存：32GB*12根，最高速率3200MT/s，支持RDIMM或LRDIMM，Advanced ECC、内存镜像、内存热备；</w:t>
            </w:r>
          </w:p>
          <w:p w14:paraId="1ED3C241">
            <w:pPr>
              <w:keepNext w:val="0"/>
              <w:keepLines w:val="0"/>
              <w:suppressLineNumbers w:val="0"/>
              <w:spacing w:before="0" w:beforeAutospacing="0" w:afterAutospacing="0" w:line="276" w:lineRule="auto"/>
              <w:ind w:left="0" w:right="0"/>
              <w:rPr>
                <w:rFonts w:hint="eastAsia"/>
                <w:bCs/>
              </w:rPr>
            </w:pPr>
            <w:r>
              <w:rPr>
                <w:rFonts w:hint="eastAsia"/>
                <w:bCs/>
              </w:rPr>
              <w:t>硬盘：4T*4块（4TB 6G SATA 7.2K 3.5in EV 512e HDD ）+1.92T*3块（1.92TB 6Gb/s SATA 3.5in RI SSD）；最大可扩展至41个硬盘，提供原厂官网截图和链接并加盖供应商公章；</w:t>
            </w:r>
          </w:p>
          <w:p w14:paraId="428C1266">
            <w:pPr>
              <w:keepNext w:val="0"/>
              <w:keepLines w:val="0"/>
              <w:suppressLineNumbers w:val="0"/>
              <w:spacing w:before="0" w:beforeAutospacing="0" w:afterAutospacing="0" w:line="276" w:lineRule="auto"/>
              <w:ind w:left="0" w:right="0"/>
              <w:rPr>
                <w:rFonts w:hint="eastAsia"/>
                <w:bCs/>
              </w:rPr>
            </w:pPr>
            <w:r>
              <w:rPr>
                <w:rFonts w:hint="eastAsia"/>
                <w:bCs/>
              </w:rPr>
              <w:t>电源规格：800W(1+1冗余电源)/国标；</w:t>
            </w:r>
          </w:p>
          <w:p w14:paraId="058359CD">
            <w:pPr>
              <w:keepNext w:val="0"/>
              <w:keepLines w:val="0"/>
              <w:suppressLineNumbers w:val="0"/>
              <w:spacing w:before="0" w:beforeAutospacing="0" w:afterAutospacing="0" w:line="276" w:lineRule="auto"/>
              <w:ind w:left="0" w:right="0"/>
              <w:rPr>
                <w:rFonts w:hint="eastAsia"/>
                <w:bCs/>
              </w:rPr>
            </w:pPr>
            <w:r>
              <w:rPr>
                <w:rFonts w:hint="eastAsia"/>
                <w:bCs/>
              </w:rPr>
              <w:t>网络接口：千兆电口*4个（四口1G RJ45网卡）；</w:t>
            </w:r>
          </w:p>
          <w:p w14:paraId="2476175C">
            <w:pPr>
              <w:keepNext w:val="0"/>
              <w:keepLines w:val="0"/>
              <w:suppressLineNumbers w:val="0"/>
              <w:spacing w:before="0" w:beforeAutospacing="0" w:afterAutospacing="0" w:line="276" w:lineRule="auto"/>
              <w:ind w:left="0" w:right="0"/>
              <w:rPr>
                <w:rFonts w:hint="eastAsia"/>
                <w:bCs/>
              </w:rPr>
            </w:pPr>
            <w:r>
              <w:rPr>
                <w:rFonts w:hint="eastAsia"/>
                <w:bCs/>
              </w:rPr>
              <w:t>★扩展性：15个PCIe 4.0可用插槽（14个PCIe 4.0标准插槽和1个OCP 3.0插槽），提供原厂官网截图和链接并加盖供应商公章</w:t>
            </w:r>
          </w:p>
          <w:p w14:paraId="6530227A">
            <w:pPr>
              <w:keepNext w:val="0"/>
              <w:keepLines w:val="0"/>
              <w:suppressLineNumbers w:val="0"/>
              <w:spacing w:before="0" w:beforeAutospacing="0" w:afterAutospacing="0" w:line="276" w:lineRule="auto"/>
              <w:ind w:left="0" w:right="0"/>
              <w:rPr>
                <w:rFonts w:hint="eastAsia"/>
                <w:bCs/>
              </w:rPr>
            </w:pPr>
            <w:r>
              <w:rPr>
                <w:rFonts w:hint="eastAsia"/>
                <w:bCs/>
              </w:rPr>
              <w:t>其他配件：滑轨1套，配套国标电源线。</w:t>
            </w:r>
          </w:p>
          <w:p w14:paraId="51CBB9DF">
            <w:pPr>
              <w:keepNext w:val="0"/>
              <w:keepLines w:val="0"/>
              <w:suppressLineNumbers w:val="0"/>
              <w:spacing w:before="0" w:beforeAutospacing="0" w:afterAutospacing="0" w:line="276" w:lineRule="auto"/>
              <w:ind w:left="0" w:right="0"/>
              <w:rPr>
                <w:rFonts w:hint="eastAsia"/>
                <w:bCs/>
              </w:rPr>
            </w:pPr>
            <w:r>
              <w:rPr>
                <w:rFonts w:hint="eastAsia"/>
                <w:bCs/>
              </w:rPr>
              <w:t>RAID卡：P460 12Gb 2端口SAS RAID卡(带2GB缓存,支持8个SAS口 ，搭配超级电容）</w:t>
            </w:r>
          </w:p>
          <w:p w14:paraId="4B26F5C8">
            <w:pPr>
              <w:keepNext w:val="0"/>
              <w:keepLines w:val="0"/>
              <w:suppressLineNumbers w:val="0"/>
              <w:spacing w:before="0" w:beforeAutospacing="0" w:afterAutospacing="0" w:line="276" w:lineRule="auto"/>
              <w:ind w:left="0" w:right="0"/>
              <w:rPr>
                <w:rFonts w:hint="eastAsia"/>
                <w:b/>
              </w:rPr>
            </w:pPr>
            <w:r>
              <w:rPr>
                <w:rFonts w:hint="eastAsia"/>
                <w:bCs/>
              </w:rPr>
              <w:t>★嵌入式管理：服务器支持智能温度监控，具备支持以图形化形式展示各组件温度传感器的分布图，可直观体现服务器整体温感状态，如发生温度告警可快速定位到具体区域；提供具有CNAS或CMA资质的第三方测试机构的测试报告证明；</w:t>
            </w:r>
          </w:p>
        </w:tc>
        <w:tc>
          <w:tcPr>
            <w:tcW w:w="675" w:type="dxa"/>
            <w:vAlign w:val="center"/>
          </w:tcPr>
          <w:p w14:paraId="29BD4E7D">
            <w:pPr>
              <w:keepNext w:val="0"/>
              <w:keepLines w:val="0"/>
              <w:suppressLineNumbers w:val="0"/>
              <w:spacing w:before="0" w:beforeAutospacing="0" w:afterAutospacing="0" w:line="276" w:lineRule="auto"/>
              <w:ind w:left="0" w:right="0"/>
              <w:rPr>
                <w:rFonts w:hint="eastAsia"/>
                <w:b/>
              </w:rPr>
            </w:pPr>
            <w:r>
              <w:rPr>
                <w:rFonts w:hint="eastAsia"/>
                <w:bCs/>
              </w:rPr>
              <w:t>1</w:t>
            </w:r>
          </w:p>
        </w:tc>
        <w:tc>
          <w:tcPr>
            <w:tcW w:w="825" w:type="dxa"/>
            <w:vAlign w:val="center"/>
          </w:tcPr>
          <w:p w14:paraId="67BD6093">
            <w:pPr>
              <w:keepNext w:val="0"/>
              <w:keepLines w:val="0"/>
              <w:suppressLineNumbers w:val="0"/>
              <w:spacing w:before="0" w:beforeAutospacing="0" w:afterAutospacing="0" w:line="276" w:lineRule="auto"/>
              <w:ind w:left="0" w:right="0"/>
              <w:rPr>
                <w:rFonts w:hint="eastAsia"/>
                <w:b/>
              </w:rPr>
            </w:pPr>
            <w:r>
              <w:rPr>
                <w:rFonts w:hint="eastAsia"/>
                <w:bCs/>
              </w:rPr>
              <w:t>台</w:t>
            </w:r>
          </w:p>
        </w:tc>
        <w:tc>
          <w:tcPr>
            <w:tcW w:w="1359" w:type="dxa"/>
            <w:vAlign w:val="center"/>
          </w:tcPr>
          <w:p w14:paraId="34BA0F14">
            <w:pPr>
              <w:keepNext w:val="0"/>
              <w:keepLines w:val="0"/>
              <w:suppressLineNumbers w:val="0"/>
              <w:spacing w:before="0" w:beforeAutospacing="0" w:afterAutospacing="0" w:line="276" w:lineRule="auto"/>
              <w:ind w:left="0" w:right="0"/>
              <w:rPr>
                <w:rFonts w:hint="default"/>
                <w:b/>
                <w:woUserID w:val="1"/>
              </w:rPr>
            </w:pPr>
            <w:r>
              <w:rPr>
                <w:rFonts w:hint="default" w:ascii="宋体" w:hAnsi="宋体" w:eastAsia="宋体" w:cs="宋体"/>
                <w:sz w:val="24"/>
                <w:szCs w:val="24"/>
                <w:woUserID w:val="1"/>
              </w:rPr>
              <w:t>华三、曙光、联想</w:t>
            </w:r>
          </w:p>
        </w:tc>
        <w:tc>
          <w:tcPr>
            <w:tcW w:w="949" w:type="dxa"/>
            <w:vAlign w:val="center"/>
          </w:tcPr>
          <w:p w14:paraId="5357BF8E">
            <w:pPr>
              <w:keepNext w:val="0"/>
              <w:keepLines w:val="0"/>
              <w:suppressLineNumbers w:val="0"/>
              <w:spacing w:before="0" w:beforeAutospacing="0" w:afterAutospacing="0" w:line="276" w:lineRule="auto"/>
              <w:ind w:left="0" w:right="0"/>
              <w:rPr>
                <w:rFonts w:hint="eastAsia"/>
                <w:b/>
              </w:rPr>
            </w:pPr>
            <w:r>
              <w:rPr>
                <w:rFonts w:hint="eastAsia"/>
                <w:bCs/>
              </w:rPr>
              <w:t>单价最高预算9.8万</w:t>
            </w:r>
          </w:p>
        </w:tc>
      </w:tr>
      <w:tr w14:paraId="5D16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5" w:type="dxa"/>
            <w:vAlign w:val="center"/>
          </w:tcPr>
          <w:p w14:paraId="7FAB1890">
            <w:pPr>
              <w:keepNext w:val="0"/>
              <w:keepLines w:val="0"/>
              <w:suppressLineNumbers w:val="0"/>
              <w:spacing w:before="0" w:beforeAutospacing="0" w:afterAutospacing="0" w:line="276" w:lineRule="auto"/>
              <w:ind w:left="0" w:right="0"/>
              <w:rPr>
                <w:rFonts w:hint="eastAsia"/>
                <w:b/>
              </w:rPr>
            </w:pPr>
            <w:r>
              <w:rPr>
                <w:rFonts w:hint="eastAsia"/>
                <w:bCs/>
              </w:rPr>
              <w:t>2</w:t>
            </w:r>
          </w:p>
        </w:tc>
        <w:tc>
          <w:tcPr>
            <w:tcW w:w="1192" w:type="dxa"/>
            <w:vAlign w:val="center"/>
          </w:tcPr>
          <w:p w14:paraId="164E6D19">
            <w:pPr>
              <w:keepNext w:val="0"/>
              <w:keepLines w:val="0"/>
              <w:suppressLineNumbers w:val="0"/>
              <w:spacing w:before="0" w:beforeAutospacing="0" w:afterAutospacing="0" w:line="276" w:lineRule="auto"/>
              <w:ind w:left="0" w:right="0"/>
              <w:rPr>
                <w:rFonts w:hint="eastAsia"/>
                <w:b/>
              </w:rPr>
            </w:pPr>
            <w:r>
              <w:rPr>
                <w:rFonts w:hint="eastAsia"/>
                <w:bCs/>
              </w:rPr>
              <w:t>计算机</w:t>
            </w:r>
          </w:p>
        </w:tc>
        <w:tc>
          <w:tcPr>
            <w:tcW w:w="2543" w:type="dxa"/>
            <w:vAlign w:val="center"/>
          </w:tcPr>
          <w:p w14:paraId="6D93641F">
            <w:pPr>
              <w:keepNext w:val="0"/>
              <w:keepLines w:val="0"/>
              <w:suppressLineNumbers w:val="0"/>
              <w:spacing w:before="0" w:beforeAutospacing="0" w:afterAutospacing="0" w:line="276" w:lineRule="auto"/>
              <w:ind w:left="0" w:right="0"/>
              <w:rPr>
                <w:rFonts w:hint="eastAsia"/>
                <w:bCs/>
              </w:rPr>
            </w:pPr>
            <w:r>
              <w:rPr>
                <w:rFonts w:hint="eastAsia"/>
                <w:bCs/>
              </w:rPr>
              <w:t>1、机型：分体式商用台式机；</w:t>
            </w:r>
          </w:p>
          <w:p w14:paraId="347BA6A1">
            <w:pPr>
              <w:keepNext w:val="0"/>
              <w:keepLines w:val="0"/>
              <w:suppressLineNumbers w:val="0"/>
              <w:spacing w:before="0" w:beforeAutospacing="0" w:afterAutospacing="0" w:line="276" w:lineRule="auto"/>
              <w:ind w:left="0" w:right="0"/>
              <w:rPr>
                <w:rFonts w:hint="eastAsia"/>
                <w:bCs/>
              </w:rPr>
            </w:pPr>
            <w:r>
              <w:rPr>
                <w:rFonts w:hint="eastAsia"/>
                <w:bCs/>
              </w:rPr>
              <w:t>★2、处理器：</w:t>
            </w:r>
            <w:r>
              <w:rPr>
                <w:rFonts w:hint="eastAsia" w:ascii="宋体" w:hAnsi="宋体" w:eastAsia="宋体" w:cs="宋体"/>
                <w:kern w:val="0"/>
                <w:sz w:val="18"/>
                <w:szCs w:val="18"/>
                <w:lang w:bidi="ar"/>
              </w:rPr>
              <w:t>≥i5-14500，14核20线程  最大睿频频率≥5.0GHz；</w:t>
            </w:r>
          </w:p>
          <w:p w14:paraId="42E45CDB">
            <w:pPr>
              <w:keepNext w:val="0"/>
              <w:keepLines w:val="0"/>
              <w:suppressLineNumbers w:val="0"/>
              <w:spacing w:before="0" w:beforeAutospacing="0" w:afterAutospacing="0" w:line="276" w:lineRule="auto"/>
              <w:ind w:left="0" w:right="0"/>
              <w:rPr>
                <w:rFonts w:hint="eastAsia"/>
                <w:bCs/>
              </w:rPr>
            </w:pPr>
            <w:r>
              <w:rPr>
                <w:rFonts w:hint="eastAsia"/>
                <w:bCs/>
              </w:rPr>
              <w:t>★3、主板芯片组：基础功耗≤6W，内存每个通道的 DIMM 数量≥2，支持的USB 端口数≥12，DMI 通道最大数≥4，PCIe 通道数的最大值≥14，PCIe4.0 通道数≥10，SATA 6.0 Gb/秒端口数的最大值≥4；主板自带蜂鸣器，借助蜂鸣器长短声音的组合，实现故障报警检测功能（提供佐证材料）。</w:t>
            </w:r>
          </w:p>
          <w:p w14:paraId="7FE4900D">
            <w:pPr>
              <w:keepNext w:val="0"/>
              <w:keepLines w:val="0"/>
              <w:suppressLineNumbers w:val="0"/>
              <w:spacing w:before="0" w:beforeAutospacing="0" w:afterAutospacing="0" w:line="276" w:lineRule="auto"/>
              <w:ind w:left="0" w:right="0"/>
              <w:rPr>
                <w:rFonts w:hint="eastAsia"/>
                <w:bCs/>
              </w:rPr>
            </w:pPr>
            <w:r>
              <w:rPr>
                <w:rFonts w:hint="eastAsia"/>
                <w:bCs/>
              </w:rPr>
              <w:t>★4、内存：≥16GB DDR5 5600MHz，2根内存插槽，最大支持64GB DDR5 5600MHz内存；</w:t>
            </w:r>
          </w:p>
          <w:p w14:paraId="6C4B69D7">
            <w:pPr>
              <w:keepNext w:val="0"/>
              <w:keepLines w:val="0"/>
              <w:suppressLineNumbers w:val="0"/>
              <w:spacing w:before="0" w:beforeAutospacing="0" w:afterAutospacing="0" w:line="276" w:lineRule="auto"/>
              <w:ind w:left="0" w:right="0"/>
              <w:rPr>
                <w:rFonts w:hint="eastAsia"/>
                <w:bCs/>
              </w:rPr>
            </w:pPr>
            <w:r>
              <w:rPr>
                <w:rFonts w:hint="eastAsia"/>
                <w:bCs/>
              </w:rPr>
              <w:t xml:space="preserve">★5、硬盘：≥512GB M.2 PCIe4.0 Nvme固态硬盘 + </w:t>
            </w:r>
            <w:r>
              <w:rPr>
                <w:rFonts w:hint="eastAsia" w:ascii="宋体" w:hAnsi="宋体" w:eastAsia="宋体" w:cs="宋体"/>
                <w:kern w:val="0"/>
                <w:sz w:val="18"/>
                <w:szCs w:val="18"/>
                <w:lang w:bidi="ar"/>
              </w:rPr>
              <w:t>1TB 7200</w:t>
            </w:r>
            <w:r>
              <w:rPr>
                <w:rFonts w:hint="eastAsia" w:ascii="宋体" w:hAnsi="宋体" w:cs="宋体"/>
                <w:kern w:val="0"/>
                <w:sz w:val="18"/>
                <w:szCs w:val="18"/>
                <w:lang w:bidi="ar"/>
              </w:rPr>
              <w:t>转</w:t>
            </w:r>
            <w:r>
              <w:rPr>
                <w:rFonts w:hint="eastAsia" w:ascii="宋体" w:hAnsi="宋体" w:eastAsia="宋体" w:cs="宋体"/>
                <w:kern w:val="0"/>
                <w:sz w:val="18"/>
                <w:szCs w:val="18"/>
                <w:lang w:bidi="ar"/>
              </w:rPr>
              <w:t xml:space="preserve">  SATA</w:t>
            </w:r>
            <w:r>
              <w:rPr>
                <w:rFonts w:hint="eastAsia" w:ascii="宋体" w:hAnsi="宋体" w:cs="宋体"/>
                <w:kern w:val="0"/>
                <w:sz w:val="18"/>
                <w:szCs w:val="18"/>
                <w:lang w:bidi="ar"/>
              </w:rPr>
              <w:t xml:space="preserve"> </w:t>
            </w:r>
            <w:r>
              <w:rPr>
                <w:rFonts w:hint="eastAsia" w:ascii="宋体" w:hAnsi="宋体" w:eastAsia="宋体" w:cs="宋体"/>
                <w:kern w:val="0"/>
                <w:sz w:val="18"/>
                <w:szCs w:val="18"/>
                <w:lang w:bidi="ar"/>
              </w:rPr>
              <w:t>机械硬盘</w:t>
            </w:r>
            <w:r>
              <w:rPr>
                <w:rFonts w:hint="eastAsia"/>
                <w:bCs/>
              </w:rPr>
              <w:t>；</w:t>
            </w:r>
          </w:p>
          <w:p w14:paraId="598799E7">
            <w:pPr>
              <w:keepNext w:val="0"/>
              <w:keepLines w:val="0"/>
              <w:suppressLineNumbers w:val="0"/>
              <w:spacing w:before="0" w:beforeAutospacing="0" w:afterAutospacing="0" w:line="276" w:lineRule="auto"/>
              <w:ind w:left="0" w:right="0"/>
              <w:rPr>
                <w:rFonts w:hint="eastAsia"/>
                <w:bCs/>
              </w:rPr>
            </w:pPr>
            <w:r>
              <w:rPr>
                <w:rFonts w:hint="eastAsia"/>
                <w:bCs/>
              </w:rPr>
              <w:t>★6、显卡：≥集显，支持RTX4070显卡；</w:t>
            </w:r>
          </w:p>
          <w:p w14:paraId="6718D69C">
            <w:pPr>
              <w:keepNext w:val="0"/>
              <w:keepLines w:val="0"/>
              <w:suppressLineNumbers w:val="0"/>
              <w:spacing w:before="0" w:beforeAutospacing="0" w:afterAutospacing="0" w:line="276" w:lineRule="auto"/>
              <w:ind w:left="0" w:right="0"/>
              <w:rPr>
                <w:rFonts w:hint="eastAsia"/>
                <w:bCs/>
              </w:rPr>
            </w:pPr>
            <w:r>
              <w:rPr>
                <w:rFonts w:hint="eastAsia"/>
                <w:bCs/>
              </w:rPr>
              <w:t>7、光驱：支持内置DVD-RW光驱；</w:t>
            </w:r>
          </w:p>
          <w:p w14:paraId="0398D458">
            <w:pPr>
              <w:keepNext w:val="0"/>
              <w:keepLines w:val="0"/>
              <w:suppressLineNumbers w:val="0"/>
              <w:spacing w:before="0" w:beforeAutospacing="0" w:afterAutospacing="0" w:line="276" w:lineRule="auto"/>
              <w:ind w:left="0" w:right="0"/>
              <w:rPr>
                <w:rFonts w:hint="eastAsia"/>
                <w:bCs/>
              </w:rPr>
            </w:pPr>
            <w:r>
              <w:rPr>
                <w:rFonts w:hint="eastAsia"/>
                <w:bCs/>
              </w:rPr>
              <w:t>8、音频：集成声卡，至少前2后3音频接口；</w:t>
            </w:r>
          </w:p>
          <w:p w14:paraId="07070317">
            <w:pPr>
              <w:keepNext w:val="0"/>
              <w:keepLines w:val="0"/>
              <w:suppressLineNumbers w:val="0"/>
              <w:spacing w:before="0" w:beforeAutospacing="0" w:afterAutospacing="0" w:line="276" w:lineRule="auto"/>
              <w:ind w:left="0" w:right="0"/>
              <w:rPr>
                <w:rFonts w:hint="eastAsia"/>
                <w:bCs/>
              </w:rPr>
            </w:pPr>
            <w:r>
              <w:rPr>
                <w:rFonts w:hint="eastAsia"/>
                <w:bCs/>
              </w:rPr>
              <w:t>9、网卡：集成10/100/1000M自适应千兆网卡，支持扩展无线网卡；</w:t>
            </w:r>
          </w:p>
          <w:p w14:paraId="3FF88DD6">
            <w:pPr>
              <w:keepNext w:val="0"/>
              <w:keepLines w:val="0"/>
              <w:suppressLineNumbers w:val="0"/>
              <w:spacing w:before="0" w:beforeAutospacing="0" w:afterAutospacing="0" w:line="276" w:lineRule="auto"/>
              <w:ind w:left="0" w:right="0"/>
              <w:rPr>
                <w:rFonts w:hint="eastAsia"/>
                <w:bCs/>
              </w:rPr>
            </w:pPr>
            <w:r>
              <w:rPr>
                <w:rFonts w:hint="eastAsia"/>
                <w:bCs/>
              </w:rPr>
              <w:t>★10、内部扩展槽：≥1个PCIe4.0 x16+1个PCIe x4+1个PCIe x1+1个PCI，≥3个M.2（其中至少2个为PCIe4.0固态硬盘接口），≥4个SATA3.0接口；</w:t>
            </w:r>
          </w:p>
          <w:p w14:paraId="4E8CF100">
            <w:pPr>
              <w:keepNext w:val="0"/>
              <w:keepLines w:val="0"/>
              <w:suppressLineNumbers w:val="0"/>
              <w:spacing w:before="0" w:beforeAutospacing="0" w:afterAutospacing="0" w:line="276" w:lineRule="auto"/>
              <w:ind w:left="0" w:right="0"/>
              <w:rPr>
                <w:rFonts w:hint="eastAsia"/>
                <w:bCs/>
              </w:rPr>
            </w:pPr>
            <w:r>
              <w:rPr>
                <w:rFonts w:hint="eastAsia"/>
                <w:bCs/>
              </w:rPr>
              <w:t>★11、USB接口：前置不少于4个USB3.2 Gen1 Type-A+1个USB3.2 Gen2 Type-A +1个USB3.2 Gen2 Type-C（支持关机充电）接口，后置不少于4个USB2.0接口（含1个键盘开机接口）；</w:t>
            </w:r>
          </w:p>
          <w:p w14:paraId="1145C7E8">
            <w:pPr>
              <w:keepNext w:val="0"/>
              <w:keepLines w:val="0"/>
              <w:suppressLineNumbers w:val="0"/>
              <w:spacing w:before="0" w:beforeAutospacing="0" w:afterAutospacing="0" w:line="276" w:lineRule="auto"/>
              <w:ind w:left="0" w:right="0"/>
              <w:rPr>
                <w:rFonts w:hint="eastAsia"/>
                <w:bCs/>
              </w:rPr>
            </w:pPr>
            <w:r>
              <w:rPr>
                <w:rFonts w:hint="eastAsia"/>
                <w:bCs/>
              </w:rPr>
              <w:t>★12、其他接口：主板原生不少于VGA + HDMI + DP共3个视频输出端口，1个串口，1个RJ-45接口；</w:t>
            </w:r>
          </w:p>
          <w:p w14:paraId="135D3250">
            <w:pPr>
              <w:keepNext w:val="0"/>
              <w:keepLines w:val="0"/>
              <w:suppressLineNumbers w:val="0"/>
              <w:spacing w:before="0" w:beforeAutospacing="0" w:afterAutospacing="0" w:line="276" w:lineRule="auto"/>
              <w:ind w:left="0" w:right="0"/>
              <w:rPr>
                <w:rFonts w:hint="eastAsia"/>
                <w:bCs/>
              </w:rPr>
            </w:pPr>
            <w:r>
              <w:rPr>
                <w:rFonts w:hint="eastAsia"/>
                <w:bCs/>
              </w:rPr>
              <w:t>13、键盘鼠标：防泼溅键盘，抗菌键鼠；</w:t>
            </w:r>
          </w:p>
          <w:p w14:paraId="6A8D19FD">
            <w:pPr>
              <w:keepNext w:val="0"/>
              <w:keepLines w:val="0"/>
              <w:suppressLineNumbers w:val="0"/>
              <w:spacing w:before="0" w:beforeAutospacing="0" w:afterAutospacing="0" w:line="276" w:lineRule="auto"/>
              <w:ind w:left="0" w:right="0"/>
              <w:rPr>
                <w:rFonts w:hint="eastAsia"/>
                <w:bCs/>
              </w:rPr>
            </w:pPr>
            <w:r>
              <w:rPr>
                <w:rFonts w:hint="eastAsia"/>
                <w:bCs/>
              </w:rPr>
              <w:t>14、电源：≥300W电源；</w:t>
            </w:r>
          </w:p>
          <w:p w14:paraId="699F0806">
            <w:pPr>
              <w:keepNext w:val="0"/>
              <w:keepLines w:val="0"/>
              <w:suppressLineNumbers w:val="0"/>
              <w:spacing w:before="0" w:beforeAutospacing="0" w:afterAutospacing="0" w:line="276" w:lineRule="auto"/>
              <w:ind w:left="0" w:right="0"/>
              <w:rPr>
                <w:rFonts w:hint="eastAsia"/>
                <w:bCs/>
              </w:rPr>
            </w:pPr>
            <w:r>
              <w:rPr>
                <w:rFonts w:hint="eastAsia"/>
                <w:bCs/>
              </w:rPr>
              <w:t>15、BIOS：简体中文；</w:t>
            </w:r>
          </w:p>
          <w:p w14:paraId="43ECA4D7">
            <w:pPr>
              <w:keepNext w:val="0"/>
              <w:keepLines w:val="0"/>
              <w:suppressLineNumbers w:val="0"/>
              <w:spacing w:before="0" w:beforeAutospacing="0" w:afterAutospacing="0" w:line="276" w:lineRule="auto"/>
              <w:ind w:left="0" w:right="0"/>
              <w:rPr>
                <w:rFonts w:hint="eastAsia"/>
                <w:bCs/>
              </w:rPr>
            </w:pPr>
            <w:r>
              <w:rPr>
                <w:rFonts w:hint="eastAsia"/>
                <w:bCs/>
              </w:rPr>
              <w:t>★16、机箱：≥17L，免工具开启机箱，前置可拆洗防尘网（提供佐证材料）；</w:t>
            </w:r>
          </w:p>
          <w:p w14:paraId="0C086442">
            <w:pPr>
              <w:keepNext w:val="0"/>
              <w:keepLines w:val="0"/>
              <w:suppressLineNumbers w:val="0"/>
              <w:spacing w:before="0" w:beforeAutospacing="0" w:afterAutospacing="0" w:line="276" w:lineRule="auto"/>
              <w:ind w:left="0" w:right="0"/>
              <w:rPr>
                <w:rFonts w:hint="eastAsia"/>
                <w:bCs/>
              </w:rPr>
            </w:pPr>
            <w:r>
              <w:rPr>
                <w:rFonts w:hint="eastAsia"/>
                <w:bCs/>
              </w:rPr>
              <w:t>17、操作系统：预装正版Windows 11或以上操作系统；</w:t>
            </w:r>
          </w:p>
          <w:p w14:paraId="0069030A">
            <w:pPr>
              <w:keepNext w:val="0"/>
              <w:keepLines w:val="0"/>
              <w:suppressLineNumbers w:val="0"/>
              <w:spacing w:before="0" w:beforeAutospacing="0" w:afterAutospacing="0" w:line="276" w:lineRule="auto"/>
              <w:ind w:left="0" w:right="0"/>
              <w:rPr>
                <w:rFonts w:hint="eastAsia"/>
                <w:bCs/>
              </w:rPr>
            </w:pPr>
            <w:r>
              <w:rPr>
                <w:rFonts w:hint="eastAsia"/>
                <w:bCs/>
              </w:rPr>
              <w:t>★18、显示器：≥23.8英寸，分辨率≥1920 x 1080，色域≥99% sRGB，亮度≥300cd/m²，最大刷新率≥100Hz，响应时间≤5ms，静态对比度≥4000:1，VGA + HDMI + DP接口，带原厂HDMI 线缆，支持VESA挂架，通过低蓝光认证、环境适应性认证、电源适应能力认证；（提供各项认证证书扫描件）</w:t>
            </w:r>
          </w:p>
          <w:p w14:paraId="7EC94E47">
            <w:pPr>
              <w:keepNext w:val="0"/>
              <w:keepLines w:val="0"/>
              <w:suppressLineNumbers w:val="0"/>
              <w:spacing w:before="0" w:beforeAutospacing="0" w:afterAutospacing="0"/>
              <w:ind w:left="0" w:right="0" w:firstLine="420"/>
              <w:rPr>
                <w:rFonts w:hint="eastAsia"/>
              </w:rPr>
            </w:pPr>
            <w:r>
              <w:rPr>
                <w:rFonts w:hint="eastAsia"/>
                <w:bCs/>
              </w:rPr>
              <w:t>★19、 软件方式实现系统部署、集中管理和硬盘保护功能；能够实现与学校原系统网络同传，无缝兼容：</w:t>
            </w:r>
            <w:r>
              <w:rPr>
                <w:rFonts w:hint="default"/>
              </w:rPr>
              <w:t>所有功能全部架构基于Windows平台，简单易懂，方便操作；</w:t>
            </w:r>
          </w:p>
          <w:p w14:paraId="2DE2EF2F">
            <w:pPr>
              <w:keepNext w:val="0"/>
              <w:keepLines w:val="0"/>
              <w:suppressLineNumbers w:val="0"/>
              <w:spacing w:before="0" w:beforeAutospacing="0" w:afterAutospacing="0"/>
              <w:ind w:left="0" w:right="0" w:firstLine="420"/>
              <w:rPr>
                <w:rFonts w:hint="eastAsia"/>
              </w:rPr>
            </w:pPr>
            <w:r>
              <w:rPr>
                <w:rFonts w:hint="default"/>
              </w:rPr>
              <w:t>支持双硬盘保护同传（各种规格的SSD及机械硬盘），双硬盘环境混合硬盘跨硬盘安装多操作系统；</w:t>
            </w:r>
          </w:p>
          <w:p w14:paraId="23166864">
            <w:pPr>
              <w:keepNext w:val="0"/>
              <w:keepLines w:val="0"/>
              <w:suppressLineNumbers w:val="0"/>
              <w:spacing w:before="0" w:beforeAutospacing="0" w:afterAutospacing="0"/>
              <w:ind w:left="0" w:right="0" w:firstLine="420"/>
              <w:rPr>
                <w:rFonts w:hint="eastAsia"/>
              </w:rPr>
            </w:pPr>
            <w:r>
              <w:rPr>
                <w:rFonts w:hint="default"/>
              </w:rPr>
              <w:t>采用树状多点还原技术，最高支持建立254个还原点，每个还原点皆各自独立；</w:t>
            </w:r>
          </w:p>
          <w:p w14:paraId="0516C331">
            <w:pPr>
              <w:keepNext w:val="0"/>
              <w:keepLines w:val="0"/>
              <w:suppressLineNumbers w:val="0"/>
              <w:spacing w:before="0" w:beforeAutospacing="0" w:afterAutospacing="0"/>
              <w:ind w:left="0" w:right="0" w:firstLine="420"/>
              <w:rPr>
                <w:rFonts w:hint="eastAsia"/>
              </w:rPr>
            </w:pPr>
            <w:r>
              <w:rPr>
                <w:rFonts w:hint="default"/>
              </w:rPr>
              <w:t>支持网络同传功能，可方便快速的进行远程系统部署并监控客户端的网卡发包率，硬盘读写速度；</w:t>
            </w:r>
          </w:p>
          <w:p w14:paraId="4FF55390">
            <w:pPr>
              <w:keepNext w:val="0"/>
              <w:keepLines w:val="0"/>
              <w:suppressLineNumbers w:val="0"/>
              <w:spacing w:before="0" w:beforeAutospacing="0" w:afterAutospacing="0"/>
              <w:ind w:left="0" w:right="0" w:firstLine="420"/>
              <w:rPr>
                <w:rFonts w:hint="eastAsia"/>
              </w:rPr>
            </w:pPr>
            <w:r>
              <w:rPr>
                <w:rFonts w:hint="default"/>
              </w:rPr>
              <w:t>支持远程喚醒、远程重新启动、远程关机功能；</w:t>
            </w:r>
          </w:p>
          <w:p w14:paraId="3A392D61">
            <w:pPr>
              <w:keepNext w:val="0"/>
              <w:keepLines w:val="0"/>
              <w:suppressLineNumbers w:val="0"/>
              <w:spacing w:before="0" w:beforeAutospacing="0" w:afterAutospacing="0"/>
              <w:ind w:left="0" w:right="0" w:firstLine="420"/>
              <w:rPr>
                <w:rFonts w:hint="eastAsia"/>
              </w:rPr>
            </w:pPr>
            <w:r>
              <w:rPr>
                <w:rFonts w:hint="default"/>
              </w:rPr>
              <w:t>网页过滤功能，可控制客户端是否能上网，或者设定机房内计算机内外网的访问黑白名单；</w:t>
            </w:r>
          </w:p>
          <w:p w14:paraId="253027A6">
            <w:pPr>
              <w:keepNext w:val="0"/>
              <w:keepLines w:val="0"/>
              <w:suppressLineNumbers w:val="0"/>
              <w:spacing w:before="0" w:beforeAutospacing="0" w:afterAutospacing="0"/>
              <w:ind w:left="0" w:right="0" w:firstLine="420"/>
              <w:rPr>
                <w:rFonts w:hint="eastAsia"/>
              </w:rPr>
            </w:pPr>
            <w:r>
              <w:rPr>
                <w:rFonts w:hint="default"/>
              </w:rPr>
              <w:t>支持客户端禁止使用USB、DVD/CD-ROM存储设备；</w:t>
            </w:r>
          </w:p>
          <w:p w14:paraId="77EDCDD2">
            <w:pPr>
              <w:keepNext w:val="0"/>
              <w:keepLines w:val="0"/>
              <w:suppressLineNumbers w:val="0"/>
              <w:spacing w:before="0" w:beforeAutospacing="0" w:afterAutospacing="0"/>
              <w:ind w:left="0" w:right="0" w:firstLine="420"/>
              <w:rPr>
                <w:rFonts w:hint="eastAsia"/>
              </w:rPr>
            </w:pPr>
            <w:r>
              <w:rPr>
                <w:rFonts w:hint="default"/>
              </w:rPr>
              <w:t>支持【开机选单】不动作时自动关机功能和自动进入操作系统；</w:t>
            </w:r>
          </w:p>
          <w:p w14:paraId="0A8A061C">
            <w:pPr>
              <w:keepNext w:val="0"/>
              <w:keepLines w:val="0"/>
              <w:suppressLineNumbers w:val="0"/>
              <w:spacing w:before="0" w:beforeAutospacing="0" w:afterAutospacing="0"/>
              <w:ind w:left="0" w:right="0" w:firstLine="420"/>
              <w:rPr>
                <w:rFonts w:hint="eastAsia"/>
              </w:rPr>
            </w:pPr>
            <w:r>
              <w:rPr>
                <w:rFonts w:hint="default"/>
              </w:rPr>
              <w:t>支持软件自动注册和KMS；</w:t>
            </w:r>
          </w:p>
          <w:p w14:paraId="571A71AA">
            <w:pPr>
              <w:keepNext w:val="0"/>
              <w:keepLines w:val="0"/>
              <w:suppressLineNumbers w:val="0"/>
              <w:spacing w:before="0" w:beforeAutospacing="0" w:afterAutospacing="0"/>
              <w:ind w:left="0" w:right="0" w:firstLine="420"/>
              <w:rPr>
                <w:rFonts w:hint="eastAsia"/>
              </w:rPr>
            </w:pPr>
            <w:r>
              <w:rPr>
                <w:rFonts w:hint="default"/>
              </w:rPr>
              <w:t>支持通过虚拟磁盘功能加载进度环境的高级模式，可在不进入系统的情况下拷贝有效数据</w:t>
            </w:r>
            <w:r>
              <w:rPr>
                <w:rFonts w:hint="eastAsia"/>
              </w:rPr>
              <w:t>。</w:t>
            </w:r>
          </w:p>
          <w:p w14:paraId="0D67FC82">
            <w:pPr>
              <w:keepNext w:val="0"/>
              <w:keepLines w:val="0"/>
              <w:suppressLineNumbers w:val="0"/>
              <w:spacing w:before="0" w:beforeAutospacing="0" w:afterAutospacing="0" w:line="276" w:lineRule="auto"/>
              <w:ind w:left="0" w:right="0" w:firstLine="420" w:firstLineChars="200"/>
              <w:rPr>
                <w:rFonts w:hint="eastAsia"/>
                <w:bCs/>
              </w:rPr>
            </w:pPr>
            <w:r>
              <w:rPr>
                <w:rFonts w:hint="eastAsia"/>
                <w:bCs/>
              </w:rPr>
              <w:t>可查阅本机型号、操作系统版本、序列号、设备配置信息和使用状态；提供本机快捷键指南、系统使用指南以及使用说明书；实现本机驱动管理，方便升级；支持系统诊断；提供服务支持，可查询各地维修网点，查看维修进度，并提供服务公众号、服务电话等信息；集成常见问题清单，方便用户查阅。提供各功能截图。</w:t>
            </w:r>
          </w:p>
          <w:p w14:paraId="52A6AE72">
            <w:pPr>
              <w:keepNext w:val="0"/>
              <w:keepLines w:val="0"/>
              <w:suppressLineNumbers w:val="0"/>
              <w:spacing w:before="0" w:beforeAutospacing="0" w:afterAutospacing="0" w:line="276" w:lineRule="auto"/>
              <w:ind w:left="0" w:right="0"/>
              <w:rPr>
                <w:rFonts w:hint="eastAsia"/>
                <w:bCs/>
              </w:rPr>
            </w:pPr>
            <w:r>
              <w:rPr>
                <w:rFonts w:hint="eastAsia"/>
                <w:bCs/>
              </w:rPr>
              <w:t>★20、产品认证证书：通过可靠性检验，MTBF的m1值不低于110万小时，提供带CNAS或CMA标识的第三方检测证书扫描件。</w:t>
            </w:r>
          </w:p>
          <w:p w14:paraId="332DBFC1">
            <w:pPr>
              <w:keepNext w:val="0"/>
              <w:keepLines w:val="0"/>
              <w:suppressLineNumbers w:val="0"/>
              <w:spacing w:before="0" w:beforeAutospacing="0" w:afterAutospacing="0" w:line="276" w:lineRule="auto"/>
              <w:ind w:left="0" w:right="0"/>
              <w:rPr>
                <w:rFonts w:hint="eastAsia"/>
                <w:bCs/>
              </w:rPr>
            </w:pPr>
            <w:r>
              <w:rPr>
                <w:rFonts w:hint="eastAsia"/>
                <w:bCs/>
              </w:rPr>
              <w:t>21、原厂商资质：</w:t>
            </w:r>
          </w:p>
          <w:p w14:paraId="773A7FD8">
            <w:pPr>
              <w:keepNext w:val="0"/>
              <w:keepLines w:val="0"/>
              <w:suppressLineNumbers w:val="0"/>
              <w:spacing w:before="0" w:beforeAutospacing="0" w:afterAutospacing="0" w:line="276" w:lineRule="auto"/>
              <w:ind w:left="0" w:right="0"/>
              <w:rPr>
                <w:rFonts w:hint="eastAsia"/>
                <w:bCs/>
              </w:rPr>
            </w:pPr>
            <w:r>
              <w:rPr>
                <w:rFonts w:hint="eastAsia"/>
                <w:bCs/>
              </w:rPr>
              <w:t>1）原厂商具备ISO28000供应链安全管理体系证书；</w:t>
            </w:r>
          </w:p>
          <w:p w14:paraId="02D35ABA">
            <w:pPr>
              <w:keepNext w:val="0"/>
              <w:keepLines w:val="0"/>
              <w:suppressLineNumbers w:val="0"/>
              <w:spacing w:before="0" w:beforeAutospacing="0" w:afterAutospacing="0" w:line="276" w:lineRule="auto"/>
              <w:ind w:left="0" w:right="0"/>
              <w:rPr>
                <w:rFonts w:hint="eastAsia"/>
                <w:bCs/>
              </w:rPr>
            </w:pPr>
            <w:r>
              <w:rPr>
                <w:rFonts w:hint="eastAsia"/>
                <w:bCs/>
              </w:rPr>
              <w:t>2）原厂商具备IECQ QC080000有害物质管理体系证书；</w:t>
            </w:r>
          </w:p>
          <w:p w14:paraId="2BD0E100">
            <w:pPr>
              <w:keepNext w:val="0"/>
              <w:keepLines w:val="0"/>
              <w:suppressLineNumbers w:val="0"/>
              <w:spacing w:before="0" w:beforeAutospacing="0" w:afterAutospacing="0" w:line="276" w:lineRule="auto"/>
              <w:ind w:left="0" w:right="0"/>
              <w:rPr>
                <w:rFonts w:hint="eastAsia"/>
                <w:bCs/>
              </w:rPr>
            </w:pPr>
            <w:r>
              <w:rPr>
                <w:rFonts w:hint="eastAsia"/>
                <w:bCs/>
              </w:rPr>
              <w:t>3）原厂商具备ISO22320应急预案管理能力评价认证证书；</w:t>
            </w:r>
          </w:p>
          <w:p w14:paraId="255D829F">
            <w:pPr>
              <w:keepNext w:val="0"/>
              <w:keepLines w:val="0"/>
              <w:suppressLineNumbers w:val="0"/>
              <w:spacing w:before="0" w:beforeAutospacing="0" w:afterAutospacing="0" w:line="276" w:lineRule="auto"/>
              <w:ind w:left="0" w:right="0"/>
              <w:rPr>
                <w:rFonts w:hint="eastAsia"/>
                <w:bCs/>
              </w:rPr>
            </w:pPr>
            <w:r>
              <w:rPr>
                <w:rFonts w:hint="eastAsia"/>
                <w:bCs/>
              </w:rPr>
              <w:t>4）原厂商具备信息安全服务资质（安全工程类二级）资质证书；</w:t>
            </w:r>
          </w:p>
          <w:p w14:paraId="29120439">
            <w:pPr>
              <w:keepNext w:val="0"/>
              <w:keepLines w:val="0"/>
              <w:suppressLineNumbers w:val="0"/>
              <w:spacing w:before="0" w:beforeAutospacing="0" w:afterAutospacing="0" w:line="276" w:lineRule="auto"/>
              <w:ind w:left="0" w:right="0"/>
              <w:rPr>
                <w:rFonts w:hint="eastAsia"/>
                <w:b/>
              </w:rPr>
            </w:pPr>
            <w:r>
              <w:rPr>
                <w:rFonts w:hint="eastAsia"/>
                <w:bCs/>
              </w:rPr>
              <w:t>5）原厂商具备ISO22301业务连续性管理体系证书。</w:t>
            </w:r>
          </w:p>
        </w:tc>
        <w:tc>
          <w:tcPr>
            <w:tcW w:w="675" w:type="dxa"/>
            <w:vAlign w:val="center"/>
          </w:tcPr>
          <w:p w14:paraId="400536E7">
            <w:pPr>
              <w:keepNext w:val="0"/>
              <w:keepLines w:val="0"/>
              <w:suppressLineNumbers w:val="0"/>
              <w:spacing w:before="0" w:beforeAutospacing="0" w:afterAutospacing="0" w:line="276" w:lineRule="auto"/>
              <w:ind w:left="0" w:right="0"/>
              <w:rPr>
                <w:rFonts w:hint="eastAsia"/>
                <w:b/>
              </w:rPr>
            </w:pPr>
            <w:r>
              <w:rPr>
                <w:rFonts w:hint="eastAsia"/>
                <w:bCs/>
              </w:rPr>
              <w:t>11</w:t>
            </w:r>
          </w:p>
        </w:tc>
        <w:tc>
          <w:tcPr>
            <w:tcW w:w="825" w:type="dxa"/>
            <w:vAlign w:val="center"/>
          </w:tcPr>
          <w:p w14:paraId="3DF7589D">
            <w:pPr>
              <w:keepNext w:val="0"/>
              <w:keepLines w:val="0"/>
              <w:suppressLineNumbers w:val="0"/>
              <w:spacing w:before="0" w:beforeAutospacing="0" w:afterAutospacing="0" w:line="276" w:lineRule="auto"/>
              <w:ind w:left="0" w:right="0"/>
              <w:rPr>
                <w:rFonts w:hint="eastAsia"/>
                <w:b/>
              </w:rPr>
            </w:pPr>
            <w:r>
              <w:rPr>
                <w:rFonts w:hint="eastAsia"/>
                <w:bCs/>
              </w:rPr>
              <w:t>台</w:t>
            </w:r>
          </w:p>
        </w:tc>
        <w:tc>
          <w:tcPr>
            <w:tcW w:w="1359" w:type="dxa"/>
            <w:vAlign w:val="center"/>
          </w:tcPr>
          <w:p w14:paraId="5ECF59E5">
            <w:pPr>
              <w:keepNext w:val="0"/>
              <w:keepLines w:val="0"/>
              <w:suppressLineNumbers w:val="0"/>
              <w:spacing w:before="0" w:beforeAutospacing="0" w:afterAutospacing="0" w:line="276" w:lineRule="auto"/>
              <w:ind w:left="0" w:right="0"/>
              <w:rPr>
                <w:rFonts w:hint="default"/>
                <w:b/>
                <w:woUserID w:val="1"/>
              </w:rPr>
            </w:pPr>
            <w:r>
              <w:rPr>
                <w:rFonts w:hint="eastAsia"/>
                <w:bCs/>
              </w:rPr>
              <w:t>华三、联想</w:t>
            </w:r>
            <w:r>
              <w:rPr>
                <w:rFonts w:hint="default"/>
                <w:bCs/>
                <w:woUserID w:val="1"/>
              </w:rPr>
              <w:t>、</w:t>
            </w:r>
            <w:r>
              <w:rPr>
                <w:rFonts w:hint="eastAsia"/>
                <w:bCs/>
              </w:rPr>
              <w:t xml:space="preserve"> 戴尔</w:t>
            </w:r>
          </w:p>
        </w:tc>
        <w:tc>
          <w:tcPr>
            <w:tcW w:w="949" w:type="dxa"/>
            <w:vAlign w:val="center"/>
          </w:tcPr>
          <w:p w14:paraId="2274DF49">
            <w:pPr>
              <w:keepNext w:val="0"/>
              <w:keepLines w:val="0"/>
              <w:suppressLineNumbers w:val="0"/>
              <w:spacing w:before="0" w:beforeAutospacing="0" w:afterAutospacing="0" w:line="276" w:lineRule="auto"/>
              <w:ind w:left="0" w:right="0"/>
              <w:rPr>
                <w:rFonts w:hint="eastAsia"/>
                <w:b/>
              </w:rPr>
            </w:pPr>
            <w:r>
              <w:rPr>
                <w:rFonts w:hint="eastAsia"/>
                <w:bCs/>
              </w:rPr>
              <w:t>单价最高预算0.5万，</w:t>
            </w:r>
          </w:p>
        </w:tc>
      </w:tr>
      <w:tr w14:paraId="4178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5" w:type="dxa"/>
            <w:vAlign w:val="center"/>
          </w:tcPr>
          <w:p w14:paraId="67A5BE1B">
            <w:pPr>
              <w:keepNext w:val="0"/>
              <w:keepLines w:val="0"/>
              <w:suppressLineNumbers w:val="0"/>
              <w:spacing w:before="0" w:beforeAutospacing="0" w:afterAutospacing="0" w:line="276" w:lineRule="auto"/>
              <w:ind w:left="0" w:right="0"/>
              <w:rPr>
                <w:rFonts w:hint="eastAsia"/>
                <w:b/>
              </w:rPr>
            </w:pPr>
            <w:r>
              <w:rPr>
                <w:rFonts w:hint="eastAsia"/>
                <w:bCs/>
              </w:rPr>
              <w:t>3</w:t>
            </w:r>
          </w:p>
        </w:tc>
        <w:tc>
          <w:tcPr>
            <w:tcW w:w="1192" w:type="dxa"/>
            <w:vAlign w:val="center"/>
          </w:tcPr>
          <w:p w14:paraId="28FDA619">
            <w:pPr>
              <w:keepNext w:val="0"/>
              <w:keepLines w:val="0"/>
              <w:suppressLineNumbers w:val="0"/>
              <w:spacing w:before="0" w:beforeAutospacing="0" w:afterAutospacing="0" w:line="276" w:lineRule="auto"/>
              <w:ind w:left="0" w:right="0"/>
              <w:rPr>
                <w:rFonts w:hint="eastAsia"/>
                <w:b/>
              </w:rPr>
            </w:pPr>
            <w:r>
              <w:rPr>
                <w:rFonts w:hint="eastAsia"/>
                <w:bCs/>
              </w:rPr>
              <w:t>48口千兆交换机</w:t>
            </w:r>
          </w:p>
        </w:tc>
        <w:tc>
          <w:tcPr>
            <w:tcW w:w="2543" w:type="dxa"/>
            <w:vAlign w:val="center"/>
          </w:tcPr>
          <w:p w14:paraId="2D5456F9">
            <w:pPr>
              <w:keepNext w:val="0"/>
              <w:keepLines w:val="0"/>
              <w:suppressLineNumbers w:val="0"/>
              <w:spacing w:before="0" w:beforeAutospacing="0" w:afterAutospacing="0" w:line="276" w:lineRule="auto"/>
              <w:ind w:left="0" w:right="0"/>
              <w:rPr>
                <w:rFonts w:hint="eastAsia"/>
                <w:bCs/>
              </w:rPr>
            </w:pPr>
            <w:r>
              <w:rPr>
                <w:rFonts w:hint="eastAsia"/>
                <w:bCs/>
              </w:rPr>
              <w:t>48个10/100/1000BASE-T电口，4个1000BASE-X SFP光口；</w:t>
            </w:r>
          </w:p>
          <w:p w14:paraId="6CE7A8CD">
            <w:pPr>
              <w:keepNext w:val="0"/>
              <w:keepLines w:val="0"/>
              <w:suppressLineNumbers w:val="0"/>
              <w:spacing w:before="0" w:beforeAutospacing="0" w:afterAutospacing="0" w:line="276" w:lineRule="auto"/>
              <w:ind w:left="0" w:right="0"/>
              <w:rPr>
                <w:rFonts w:hint="eastAsia"/>
                <w:bCs/>
              </w:rPr>
            </w:pPr>
            <w:r>
              <w:rPr>
                <w:rFonts w:hint="eastAsia"/>
                <w:bCs/>
              </w:rPr>
              <w:t>交换容量：502Gbps/5.02Tbps，包转发率：112Mpps，便捷化WEB管理</w:t>
            </w:r>
          </w:p>
          <w:p w14:paraId="1CB44D59">
            <w:pPr>
              <w:keepNext w:val="0"/>
              <w:keepLines w:val="0"/>
              <w:suppressLineNumbers w:val="0"/>
              <w:spacing w:before="0" w:beforeAutospacing="0" w:afterAutospacing="0" w:line="276" w:lineRule="auto"/>
              <w:ind w:left="0" w:right="0"/>
              <w:rPr>
                <w:rFonts w:hint="eastAsia"/>
                <w:b/>
              </w:rPr>
            </w:pPr>
            <w:r>
              <w:rPr>
                <w:rFonts w:hint="eastAsia"/>
                <w:bCs/>
              </w:rPr>
              <w:t>以太网特性：支持流控(802.3x)、绿色以太网（EEE）、端口自动节能、动态链路聚合(802.3ad)/ 静态端口聚合、802.1p、802.1Q、电缆诊断、TC snooping、支持MAC地址学习数目限制(MAC地址深度最大支持16K)，提供官网截图及链接。</w:t>
            </w:r>
          </w:p>
        </w:tc>
        <w:tc>
          <w:tcPr>
            <w:tcW w:w="675" w:type="dxa"/>
            <w:vAlign w:val="center"/>
          </w:tcPr>
          <w:p w14:paraId="5A6890C7">
            <w:pPr>
              <w:keepNext w:val="0"/>
              <w:keepLines w:val="0"/>
              <w:suppressLineNumbers w:val="0"/>
              <w:spacing w:before="0" w:beforeAutospacing="0" w:afterAutospacing="0" w:line="276" w:lineRule="auto"/>
              <w:ind w:left="0" w:right="0"/>
              <w:rPr>
                <w:rFonts w:hint="eastAsia"/>
                <w:b/>
              </w:rPr>
            </w:pPr>
            <w:r>
              <w:rPr>
                <w:rFonts w:hint="eastAsia"/>
                <w:bCs/>
              </w:rPr>
              <w:t>2</w:t>
            </w:r>
          </w:p>
        </w:tc>
        <w:tc>
          <w:tcPr>
            <w:tcW w:w="825" w:type="dxa"/>
            <w:vAlign w:val="center"/>
          </w:tcPr>
          <w:p w14:paraId="76FCB7DB">
            <w:pPr>
              <w:keepNext w:val="0"/>
              <w:keepLines w:val="0"/>
              <w:suppressLineNumbers w:val="0"/>
              <w:spacing w:before="0" w:beforeAutospacing="0" w:afterAutospacing="0" w:line="276" w:lineRule="auto"/>
              <w:ind w:left="0" w:right="0"/>
              <w:rPr>
                <w:rFonts w:hint="eastAsia"/>
                <w:b/>
              </w:rPr>
            </w:pPr>
            <w:r>
              <w:rPr>
                <w:rFonts w:hint="eastAsia"/>
                <w:bCs/>
              </w:rPr>
              <w:t>台</w:t>
            </w:r>
          </w:p>
        </w:tc>
        <w:tc>
          <w:tcPr>
            <w:tcW w:w="1359" w:type="dxa"/>
            <w:vAlign w:val="center"/>
          </w:tcPr>
          <w:p w14:paraId="29423EB7">
            <w:pPr>
              <w:keepNext w:val="0"/>
              <w:keepLines w:val="0"/>
              <w:suppressLineNumbers w:val="0"/>
              <w:spacing w:before="0" w:beforeAutospacing="0" w:afterAutospacing="0" w:line="276" w:lineRule="auto"/>
              <w:ind w:left="0" w:right="0"/>
              <w:rPr>
                <w:rFonts w:hint="default"/>
                <w:b/>
                <w:woUserID w:val="1"/>
              </w:rPr>
            </w:pPr>
            <w:r>
              <w:rPr>
                <w:rFonts w:hint="default"/>
                <w:b/>
                <w:woUserID w:val="1"/>
              </w:rPr>
              <w:t>华三、华为、锐捷</w:t>
            </w:r>
          </w:p>
        </w:tc>
        <w:tc>
          <w:tcPr>
            <w:tcW w:w="949" w:type="dxa"/>
            <w:vAlign w:val="center"/>
          </w:tcPr>
          <w:p w14:paraId="72C11B4D">
            <w:pPr>
              <w:keepNext w:val="0"/>
              <w:keepLines w:val="0"/>
              <w:suppressLineNumbers w:val="0"/>
              <w:spacing w:before="0" w:beforeAutospacing="0" w:afterAutospacing="0" w:line="276" w:lineRule="auto"/>
              <w:ind w:left="0" w:right="0"/>
              <w:rPr>
                <w:rFonts w:hint="eastAsia"/>
                <w:b/>
              </w:rPr>
            </w:pPr>
          </w:p>
        </w:tc>
      </w:tr>
      <w:tr w14:paraId="338F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5" w:type="dxa"/>
            <w:vAlign w:val="center"/>
          </w:tcPr>
          <w:p w14:paraId="6C306A42">
            <w:pPr>
              <w:keepNext w:val="0"/>
              <w:keepLines w:val="0"/>
              <w:suppressLineNumbers w:val="0"/>
              <w:spacing w:before="0" w:beforeAutospacing="0" w:afterAutospacing="0" w:line="276" w:lineRule="auto"/>
              <w:ind w:left="0" w:right="0"/>
              <w:rPr>
                <w:rFonts w:hint="eastAsia"/>
                <w:b/>
              </w:rPr>
            </w:pPr>
            <w:r>
              <w:rPr>
                <w:rFonts w:hint="eastAsia"/>
                <w:bCs/>
              </w:rPr>
              <w:t>4</w:t>
            </w:r>
          </w:p>
        </w:tc>
        <w:tc>
          <w:tcPr>
            <w:tcW w:w="1192" w:type="dxa"/>
            <w:vAlign w:val="center"/>
          </w:tcPr>
          <w:p w14:paraId="619B31AC">
            <w:pPr>
              <w:keepNext w:val="0"/>
              <w:keepLines w:val="0"/>
              <w:suppressLineNumbers w:val="0"/>
              <w:spacing w:before="0" w:beforeAutospacing="0" w:afterAutospacing="0" w:line="276" w:lineRule="auto"/>
              <w:ind w:left="0" w:right="0"/>
              <w:rPr>
                <w:rFonts w:hint="eastAsia"/>
                <w:b/>
              </w:rPr>
            </w:pPr>
            <w:r>
              <w:rPr>
                <w:rFonts w:hint="default"/>
                <w:bCs/>
              </w:rPr>
              <w:t>服务器机柜</w:t>
            </w:r>
          </w:p>
        </w:tc>
        <w:tc>
          <w:tcPr>
            <w:tcW w:w="2543" w:type="dxa"/>
            <w:vAlign w:val="center"/>
          </w:tcPr>
          <w:p w14:paraId="08B81F48">
            <w:pPr>
              <w:keepNext w:val="0"/>
              <w:keepLines w:val="0"/>
              <w:suppressLineNumbers w:val="0"/>
              <w:spacing w:before="0" w:beforeAutospacing="0" w:afterAutospacing="0" w:line="276" w:lineRule="auto"/>
              <w:ind w:left="0" w:right="0"/>
              <w:rPr>
                <w:rFonts w:hint="eastAsia"/>
                <w:b/>
              </w:rPr>
            </w:pPr>
            <w:r>
              <w:rPr>
                <w:rFonts w:hint="eastAsia"/>
                <w:bCs/>
              </w:rPr>
              <w:t>至少能够存放新购买的设备和1台旧服务器（型号戴尔R900）</w:t>
            </w:r>
          </w:p>
        </w:tc>
        <w:tc>
          <w:tcPr>
            <w:tcW w:w="675" w:type="dxa"/>
            <w:vAlign w:val="center"/>
          </w:tcPr>
          <w:p w14:paraId="5272EC1B">
            <w:pPr>
              <w:keepNext w:val="0"/>
              <w:keepLines w:val="0"/>
              <w:suppressLineNumbers w:val="0"/>
              <w:spacing w:before="0" w:beforeAutospacing="0" w:afterAutospacing="0" w:line="276" w:lineRule="auto"/>
              <w:ind w:left="0" w:right="0"/>
              <w:rPr>
                <w:rFonts w:hint="eastAsia"/>
                <w:b/>
              </w:rPr>
            </w:pPr>
            <w:r>
              <w:rPr>
                <w:rFonts w:hint="eastAsia"/>
                <w:bCs/>
              </w:rPr>
              <w:t>1</w:t>
            </w:r>
          </w:p>
        </w:tc>
        <w:tc>
          <w:tcPr>
            <w:tcW w:w="825" w:type="dxa"/>
            <w:vAlign w:val="center"/>
          </w:tcPr>
          <w:p w14:paraId="0B168364">
            <w:pPr>
              <w:keepNext w:val="0"/>
              <w:keepLines w:val="0"/>
              <w:suppressLineNumbers w:val="0"/>
              <w:spacing w:before="0" w:beforeAutospacing="0" w:afterAutospacing="0" w:line="276" w:lineRule="auto"/>
              <w:ind w:left="0" w:right="0"/>
              <w:rPr>
                <w:rFonts w:hint="eastAsia"/>
                <w:b/>
              </w:rPr>
            </w:pPr>
            <w:r>
              <w:rPr>
                <w:rFonts w:hint="eastAsia"/>
                <w:bCs/>
              </w:rPr>
              <w:t>台</w:t>
            </w:r>
          </w:p>
        </w:tc>
        <w:tc>
          <w:tcPr>
            <w:tcW w:w="1359" w:type="dxa"/>
            <w:vAlign w:val="center"/>
          </w:tcPr>
          <w:p w14:paraId="1EC94458">
            <w:pPr>
              <w:keepNext w:val="0"/>
              <w:keepLines w:val="0"/>
              <w:suppressLineNumbers w:val="0"/>
              <w:spacing w:before="0" w:beforeAutospacing="0" w:afterAutospacing="0" w:line="276" w:lineRule="auto"/>
              <w:ind w:left="0" w:right="0"/>
              <w:rPr>
                <w:rFonts w:hint="eastAsia"/>
                <w:b/>
              </w:rPr>
            </w:pPr>
            <w:r>
              <w:rPr>
                <w:rFonts w:hint="eastAsia"/>
                <w:bCs/>
              </w:rPr>
              <w:t>三堡、大展、图腾</w:t>
            </w:r>
          </w:p>
        </w:tc>
        <w:tc>
          <w:tcPr>
            <w:tcW w:w="949" w:type="dxa"/>
            <w:vAlign w:val="center"/>
          </w:tcPr>
          <w:p w14:paraId="024D5588">
            <w:pPr>
              <w:keepNext w:val="0"/>
              <w:keepLines w:val="0"/>
              <w:suppressLineNumbers w:val="0"/>
              <w:spacing w:before="0" w:beforeAutospacing="0" w:afterAutospacing="0" w:line="276" w:lineRule="auto"/>
              <w:ind w:left="0" w:right="0"/>
              <w:rPr>
                <w:rFonts w:hint="eastAsia"/>
                <w:b/>
              </w:rPr>
            </w:pPr>
          </w:p>
        </w:tc>
      </w:tr>
      <w:tr w14:paraId="4064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5" w:type="dxa"/>
            <w:vAlign w:val="center"/>
          </w:tcPr>
          <w:p w14:paraId="1B247B8B">
            <w:pPr>
              <w:keepNext w:val="0"/>
              <w:keepLines w:val="0"/>
              <w:suppressLineNumbers w:val="0"/>
              <w:spacing w:before="0" w:beforeAutospacing="0" w:afterAutospacing="0" w:line="276" w:lineRule="auto"/>
              <w:ind w:left="0" w:right="0"/>
              <w:rPr>
                <w:rFonts w:hint="eastAsia"/>
                <w:b/>
              </w:rPr>
            </w:pPr>
            <w:r>
              <w:rPr>
                <w:rFonts w:hint="eastAsia"/>
                <w:bCs/>
              </w:rPr>
              <w:t>5</w:t>
            </w:r>
          </w:p>
        </w:tc>
        <w:tc>
          <w:tcPr>
            <w:tcW w:w="1192" w:type="dxa"/>
            <w:vAlign w:val="center"/>
          </w:tcPr>
          <w:p w14:paraId="1CA5EB9C">
            <w:pPr>
              <w:keepNext w:val="0"/>
              <w:keepLines w:val="0"/>
              <w:suppressLineNumbers w:val="0"/>
              <w:spacing w:before="0" w:beforeAutospacing="0" w:afterAutospacing="0" w:line="276" w:lineRule="auto"/>
              <w:ind w:left="0" w:right="0"/>
              <w:rPr>
                <w:rFonts w:hint="eastAsia"/>
                <w:b/>
              </w:rPr>
            </w:pPr>
            <w:r>
              <w:rPr>
                <w:rFonts w:hint="eastAsia"/>
                <w:bCs/>
              </w:rPr>
              <w:t>工程耗材及安装服务</w:t>
            </w:r>
          </w:p>
        </w:tc>
        <w:tc>
          <w:tcPr>
            <w:tcW w:w="2543" w:type="dxa"/>
            <w:vAlign w:val="center"/>
          </w:tcPr>
          <w:p w14:paraId="1A97F9D9">
            <w:pPr>
              <w:keepNext w:val="0"/>
              <w:keepLines w:val="0"/>
              <w:suppressLineNumbers w:val="0"/>
              <w:spacing w:before="0" w:beforeAutospacing="0" w:afterAutospacing="0" w:line="276" w:lineRule="auto"/>
              <w:ind w:left="0" w:right="0"/>
              <w:rPr>
                <w:rFonts w:hint="eastAsia"/>
                <w:b/>
              </w:rPr>
            </w:pPr>
            <w:r>
              <w:rPr>
                <w:rFonts w:hint="eastAsia"/>
                <w:bCs/>
              </w:rPr>
              <w:t>公牛6位插线板（32个）、双孔（3+2）电源面板（32个）、六类网络模块（64个）、双口网络面板（32个）、六类网络跳线2米（70条）、六类水晶头（100个）、六类网线（60米）、RVV3*2.5电线（90米）、RVV3*1.5电线（80米）、设备安装及辅材、便捷式扩音器（1个，音响话筒分离式）</w:t>
            </w:r>
          </w:p>
        </w:tc>
        <w:tc>
          <w:tcPr>
            <w:tcW w:w="675" w:type="dxa"/>
            <w:vAlign w:val="center"/>
          </w:tcPr>
          <w:p w14:paraId="1ABEEEC3">
            <w:pPr>
              <w:keepNext w:val="0"/>
              <w:keepLines w:val="0"/>
              <w:suppressLineNumbers w:val="0"/>
              <w:spacing w:before="0" w:beforeAutospacing="0" w:afterAutospacing="0" w:line="276" w:lineRule="auto"/>
              <w:ind w:left="0" w:right="0"/>
              <w:rPr>
                <w:rFonts w:hint="eastAsia"/>
                <w:b/>
              </w:rPr>
            </w:pPr>
            <w:r>
              <w:rPr>
                <w:rFonts w:hint="eastAsia"/>
                <w:bCs/>
              </w:rPr>
              <w:t>1</w:t>
            </w:r>
          </w:p>
        </w:tc>
        <w:tc>
          <w:tcPr>
            <w:tcW w:w="825" w:type="dxa"/>
            <w:vAlign w:val="center"/>
          </w:tcPr>
          <w:p w14:paraId="7CFC809B">
            <w:pPr>
              <w:keepNext w:val="0"/>
              <w:keepLines w:val="0"/>
              <w:suppressLineNumbers w:val="0"/>
              <w:spacing w:before="0" w:beforeAutospacing="0" w:afterAutospacing="0" w:line="276" w:lineRule="auto"/>
              <w:ind w:left="0" w:right="0"/>
              <w:rPr>
                <w:rFonts w:hint="eastAsia"/>
                <w:b/>
              </w:rPr>
            </w:pPr>
            <w:r>
              <w:rPr>
                <w:rFonts w:hint="eastAsia"/>
                <w:bCs/>
              </w:rPr>
              <w:t>批</w:t>
            </w:r>
          </w:p>
        </w:tc>
        <w:tc>
          <w:tcPr>
            <w:tcW w:w="1359" w:type="dxa"/>
            <w:vAlign w:val="center"/>
          </w:tcPr>
          <w:p w14:paraId="3F1C44C5">
            <w:pPr>
              <w:keepNext w:val="0"/>
              <w:keepLines w:val="0"/>
              <w:suppressLineNumbers w:val="0"/>
              <w:spacing w:before="0" w:beforeAutospacing="0" w:afterAutospacing="0" w:line="276" w:lineRule="auto"/>
              <w:ind w:left="0" w:right="0"/>
              <w:rPr>
                <w:rFonts w:hint="eastAsia"/>
                <w:b/>
              </w:rPr>
            </w:pPr>
          </w:p>
        </w:tc>
        <w:tc>
          <w:tcPr>
            <w:tcW w:w="949" w:type="dxa"/>
            <w:vAlign w:val="center"/>
          </w:tcPr>
          <w:p w14:paraId="748B22DC">
            <w:pPr>
              <w:keepNext w:val="0"/>
              <w:keepLines w:val="0"/>
              <w:suppressLineNumbers w:val="0"/>
              <w:spacing w:before="0" w:beforeAutospacing="0" w:afterAutospacing="0" w:line="276" w:lineRule="auto"/>
              <w:ind w:left="0" w:right="0"/>
              <w:rPr>
                <w:rFonts w:hint="eastAsia"/>
                <w:b/>
              </w:rPr>
            </w:pPr>
          </w:p>
        </w:tc>
      </w:tr>
    </w:tbl>
    <w:p w14:paraId="60795BE7">
      <w:pPr>
        <w:spacing w:line="276" w:lineRule="auto"/>
        <w:rPr>
          <w:rFonts w:hint="eastAsia"/>
          <w:b/>
        </w:rPr>
      </w:pPr>
      <w:r>
        <w:rPr>
          <w:rFonts w:hint="eastAsia"/>
          <w:b/>
        </w:rPr>
        <w:t>三、商务要求（技术要求里另有注明的以技术要求为准）</w:t>
      </w:r>
      <w:bookmarkEnd w:id="0"/>
    </w:p>
    <w:tbl>
      <w:tblPr>
        <w:tblStyle w:val="7"/>
        <w:tblW w:w="8330"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00"/>
        <w:gridCol w:w="6930"/>
      </w:tblGrid>
      <w:tr w14:paraId="34173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400" w:type="dxa"/>
            <w:tcBorders>
              <w:top w:val="single" w:color="auto" w:sz="4" w:space="0"/>
              <w:bottom w:val="single" w:color="auto" w:sz="4" w:space="0"/>
              <w:right w:val="single" w:color="auto" w:sz="4" w:space="0"/>
            </w:tcBorders>
            <w:vAlign w:val="center"/>
          </w:tcPr>
          <w:p w14:paraId="3E08E918">
            <w:pPr>
              <w:keepNext w:val="0"/>
              <w:keepLines w:val="0"/>
              <w:suppressLineNumbers w:val="0"/>
              <w:spacing w:before="0" w:beforeAutospacing="0" w:afterAutospacing="0" w:line="276" w:lineRule="auto"/>
              <w:ind w:left="0" w:right="0"/>
              <w:rPr>
                <w:rFonts w:hint="eastAsia"/>
              </w:rPr>
            </w:pPr>
            <w:r>
              <w:rPr>
                <w:rFonts w:hint="eastAsia"/>
              </w:rPr>
              <w:t>质保期</w:t>
            </w:r>
          </w:p>
        </w:tc>
        <w:tc>
          <w:tcPr>
            <w:tcW w:w="6930" w:type="dxa"/>
            <w:tcBorders>
              <w:top w:val="single" w:color="auto" w:sz="4" w:space="0"/>
              <w:left w:val="single" w:color="auto" w:sz="4" w:space="0"/>
              <w:bottom w:val="single" w:color="auto" w:sz="4" w:space="0"/>
            </w:tcBorders>
            <w:vAlign w:val="center"/>
          </w:tcPr>
          <w:p w14:paraId="666A020B">
            <w:pPr>
              <w:keepNext w:val="0"/>
              <w:keepLines w:val="0"/>
              <w:suppressLineNumbers w:val="0"/>
              <w:spacing w:before="0" w:beforeAutospacing="0" w:afterAutospacing="0" w:line="276" w:lineRule="auto"/>
              <w:ind w:left="0" w:right="0"/>
              <w:rPr>
                <w:rFonts w:hint="eastAsia"/>
              </w:rPr>
            </w:pPr>
            <w:r>
              <w:rPr>
                <w:rFonts w:hint="eastAsia"/>
              </w:rPr>
              <w:t>自项目验收合格之日起</w:t>
            </w:r>
            <w:r>
              <w:rPr>
                <w:rFonts w:hint="eastAsia"/>
                <w:color w:val="0000FF"/>
                <w:u w:val="single"/>
              </w:rPr>
              <w:t xml:space="preserve">   </w:t>
            </w:r>
            <w:r>
              <w:rPr>
                <w:rFonts w:hint="default"/>
                <w:color w:val="000000" w:themeColor="text1"/>
                <w:u w:val="single"/>
                <w14:textFill>
                  <w14:solidFill>
                    <w14:schemeClr w14:val="tx1"/>
                  </w14:solidFill>
                </w14:textFill>
                <w:woUserID w:val="1"/>
              </w:rPr>
              <w:t>三</w:t>
            </w:r>
            <w:r>
              <w:rPr>
                <w:rFonts w:hint="eastAsia"/>
                <w:color w:val="000000" w:themeColor="text1"/>
                <w:u w:val="single"/>
                <w14:textFill>
                  <w14:solidFill>
                    <w14:schemeClr w14:val="tx1"/>
                  </w14:solidFill>
                </w14:textFill>
              </w:rPr>
              <w:t xml:space="preserve">   </w:t>
            </w:r>
            <w:r>
              <w:rPr>
                <w:rFonts w:hint="eastAsia"/>
                <w:color w:val="0000FF"/>
                <w:u w:val="single"/>
              </w:rPr>
              <w:t xml:space="preserve"> </w:t>
            </w:r>
            <w:r>
              <w:rPr>
                <w:rFonts w:hint="eastAsia"/>
              </w:rPr>
              <w:t>年。</w:t>
            </w:r>
          </w:p>
        </w:tc>
      </w:tr>
      <w:tr w14:paraId="274E2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400" w:type="dxa"/>
            <w:tcBorders>
              <w:top w:val="single" w:color="auto" w:sz="4" w:space="0"/>
              <w:bottom w:val="single" w:color="auto" w:sz="4" w:space="0"/>
              <w:right w:val="single" w:color="auto" w:sz="4" w:space="0"/>
            </w:tcBorders>
            <w:vAlign w:val="center"/>
          </w:tcPr>
          <w:p w14:paraId="4527E66C">
            <w:pPr>
              <w:keepNext w:val="0"/>
              <w:keepLines w:val="0"/>
              <w:suppressLineNumbers w:val="0"/>
              <w:spacing w:before="0" w:beforeAutospacing="0" w:afterAutospacing="0" w:line="276" w:lineRule="auto"/>
              <w:ind w:left="0" w:right="0"/>
              <w:rPr>
                <w:rFonts w:hint="eastAsia"/>
              </w:rPr>
            </w:pPr>
            <w:r>
              <w:rPr>
                <w:rFonts w:hint="eastAsia"/>
              </w:rPr>
              <w:t>服务标准</w:t>
            </w:r>
          </w:p>
        </w:tc>
        <w:tc>
          <w:tcPr>
            <w:tcW w:w="6930" w:type="dxa"/>
            <w:tcBorders>
              <w:top w:val="single" w:color="auto" w:sz="4" w:space="0"/>
              <w:left w:val="single" w:color="auto" w:sz="4" w:space="0"/>
              <w:bottom w:val="single" w:color="auto" w:sz="4" w:space="0"/>
            </w:tcBorders>
            <w:vAlign w:val="center"/>
          </w:tcPr>
          <w:p w14:paraId="5C5C33B8">
            <w:pPr>
              <w:keepNext w:val="0"/>
              <w:keepLines w:val="0"/>
              <w:suppressLineNumbers w:val="0"/>
              <w:spacing w:before="0" w:beforeAutospacing="0" w:afterAutospacing="0" w:line="276" w:lineRule="auto"/>
              <w:ind w:left="0" w:right="0"/>
              <w:rPr>
                <w:rFonts w:hint="eastAsia"/>
              </w:rPr>
            </w:pPr>
            <w:r>
              <w:rPr>
                <w:rFonts w:hint="default"/>
              </w:rPr>
              <w:t>1.</w:t>
            </w:r>
            <w:r>
              <w:rPr>
                <w:rFonts w:hint="eastAsia"/>
              </w:rPr>
              <w:t>质保期内因不能排除的故障而影响工作的情况每发生一次，其质保期相应延长</w:t>
            </w:r>
            <w:r>
              <w:rPr>
                <w:rFonts w:hint="default"/>
              </w:rPr>
              <w:t>60天，质保期内因设备本身缺陷造成各种故障应由供应商免费予以更换</w:t>
            </w:r>
            <w:r>
              <w:rPr>
                <w:rFonts w:hint="eastAsia"/>
              </w:rPr>
              <w:t>。</w:t>
            </w:r>
          </w:p>
          <w:p w14:paraId="0101F9CB">
            <w:pPr>
              <w:keepNext w:val="0"/>
              <w:keepLines w:val="0"/>
              <w:suppressLineNumbers w:val="0"/>
              <w:spacing w:before="0" w:beforeAutospacing="0" w:afterAutospacing="0" w:line="276" w:lineRule="auto"/>
              <w:ind w:left="0" w:right="0"/>
              <w:rPr>
                <w:rFonts w:hint="eastAsia"/>
              </w:rPr>
            </w:pPr>
            <w:r>
              <w:rPr>
                <w:rFonts w:hint="default"/>
              </w:rPr>
              <w:t>2.</w:t>
            </w:r>
            <w:r>
              <w:rPr>
                <w:rFonts w:hint="eastAsia"/>
              </w:rPr>
              <w:t>质保期内，应每年度对设备进行一次总体检测维护，确保设备运行正常。</w:t>
            </w:r>
          </w:p>
          <w:p w14:paraId="4C9A0283">
            <w:pPr>
              <w:keepNext w:val="0"/>
              <w:keepLines w:val="0"/>
              <w:suppressLineNumbers w:val="0"/>
              <w:spacing w:before="0" w:beforeAutospacing="0" w:afterAutospacing="0" w:line="276" w:lineRule="auto"/>
              <w:ind w:left="0" w:right="0"/>
              <w:rPr>
                <w:rFonts w:hint="eastAsia"/>
              </w:rPr>
            </w:pPr>
            <w:r>
              <w:rPr>
                <w:rFonts w:hint="eastAsia"/>
              </w:rPr>
              <w:t>3</w:t>
            </w:r>
            <w:r>
              <w:rPr>
                <w:rFonts w:hint="default"/>
              </w:rPr>
              <w:t>.质保期满后，仅收取零配件成本费用，免人工费、差旅费，所涉及软件终身免费升级。</w:t>
            </w:r>
          </w:p>
          <w:p w14:paraId="72D8C515">
            <w:pPr>
              <w:keepNext w:val="0"/>
              <w:keepLines w:val="0"/>
              <w:suppressLineNumbers w:val="0"/>
              <w:spacing w:before="0" w:beforeAutospacing="0" w:afterAutospacing="0" w:line="276" w:lineRule="auto"/>
              <w:ind w:left="0" w:right="0"/>
              <w:rPr>
                <w:rFonts w:hint="eastAsia"/>
              </w:rPr>
            </w:pPr>
            <w:r>
              <w:rPr>
                <w:rFonts w:hint="eastAsia" w:ascii="宋体" w:hAnsi="宋体" w:cs="宋体"/>
                <w:szCs w:val="21"/>
              </w:rPr>
              <w:t>4</w:t>
            </w:r>
            <w:r>
              <w:rPr>
                <w:rFonts w:hint="default" w:ascii="宋体" w:hAnsi="宋体" w:cs="宋体"/>
                <w:szCs w:val="21"/>
              </w:rPr>
              <w:t>.</w:t>
            </w:r>
            <w:r>
              <w:rPr>
                <w:rFonts w:hint="eastAsia" w:ascii="宋体" w:hAnsi="宋体" w:cs="宋体"/>
                <w:szCs w:val="21"/>
              </w:rPr>
              <w:t>质保所需费用须计入项目总报价中。</w:t>
            </w:r>
          </w:p>
        </w:tc>
      </w:tr>
      <w:tr w14:paraId="67C82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400" w:type="dxa"/>
            <w:tcBorders>
              <w:top w:val="single" w:color="auto" w:sz="4" w:space="0"/>
              <w:bottom w:val="single" w:color="auto" w:sz="4" w:space="0"/>
              <w:right w:val="single" w:color="auto" w:sz="4" w:space="0"/>
            </w:tcBorders>
            <w:vAlign w:val="center"/>
          </w:tcPr>
          <w:p w14:paraId="60661ECE">
            <w:pPr>
              <w:keepNext w:val="0"/>
              <w:keepLines w:val="0"/>
              <w:suppressLineNumbers w:val="0"/>
              <w:spacing w:before="0" w:beforeAutospacing="0" w:afterAutospacing="0" w:line="276" w:lineRule="auto"/>
              <w:ind w:left="0" w:right="0"/>
              <w:rPr>
                <w:rFonts w:hint="eastAsia"/>
              </w:rPr>
            </w:pPr>
            <w:r>
              <w:rPr>
                <w:rFonts w:hint="default"/>
              </w:rPr>
              <w:t>服务效率</w:t>
            </w:r>
          </w:p>
        </w:tc>
        <w:tc>
          <w:tcPr>
            <w:tcW w:w="6930" w:type="dxa"/>
            <w:tcBorders>
              <w:top w:val="single" w:color="auto" w:sz="4" w:space="0"/>
              <w:left w:val="single" w:color="auto" w:sz="4" w:space="0"/>
              <w:bottom w:val="single" w:color="auto" w:sz="4" w:space="0"/>
            </w:tcBorders>
            <w:vAlign w:val="center"/>
          </w:tcPr>
          <w:p w14:paraId="59B6EE4C">
            <w:pPr>
              <w:keepNext w:val="0"/>
              <w:keepLines w:val="0"/>
              <w:suppressLineNumbers w:val="0"/>
              <w:spacing w:before="0" w:beforeAutospacing="0" w:afterAutospacing="0" w:line="276" w:lineRule="auto"/>
              <w:ind w:left="0" w:right="0"/>
              <w:rPr>
                <w:rFonts w:hint="eastAsia"/>
              </w:rPr>
            </w:pPr>
            <w:r>
              <w:rPr>
                <w:rFonts w:hint="default"/>
              </w:rPr>
              <w:t>质保期内如发生质量问题，供应商电话技术支持时间：</w:t>
            </w:r>
            <w:r>
              <w:rPr>
                <w:rFonts w:hint="eastAsia"/>
              </w:rPr>
              <w:t>＿24＿</w:t>
            </w:r>
            <w:r>
              <w:rPr>
                <w:rFonts w:hint="default"/>
              </w:rPr>
              <w:t>小时以内；</w:t>
            </w:r>
          </w:p>
          <w:p w14:paraId="2825D172">
            <w:pPr>
              <w:keepNext w:val="0"/>
              <w:keepLines w:val="0"/>
              <w:suppressLineNumbers w:val="0"/>
              <w:spacing w:before="0" w:beforeAutospacing="0" w:afterAutospacing="0" w:line="276" w:lineRule="auto"/>
              <w:ind w:left="0" w:right="0"/>
              <w:rPr>
                <w:rFonts w:hint="eastAsia"/>
              </w:rPr>
            </w:pPr>
            <w:r>
              <w:rPr>
                <w:rFonts w:hint="eastAsia"/>
              </w:rPr>
              <w:t>质保期外供应商电话技术支持时间：＿48＿</w:t>
            </w:r>
            <w:r>
              <w:rPr>
                <w:rFonts w:hint="default"/>
              </w:rPr>
              <w:t>小时以内；</w:t>
            </w:r>
            <w:r>
              <w:rPr>
                <w:rFonts w:hint="eastAsia"/>
                <w:bCs/>
              </w:rPr>
              <w:t>若远程支持无法解决问题的，供应商须承诺</w:t>
            </w:r>
            <w:r>
              <w:rPr>
                <w:rFonts w:hint="eastAsia"/>
              </w:rPr>
              <w:t>＿2＿</w:t>
            </w:r>
            <w:r>
              <w:rPr>
                <w:rFonts w:hint="eastAsia"/>
                <w:bCs/>
              </w:rPr>
              <w:t>小时内上门服务，并在</w:t>
            </w:r>
            <w:r>
              <w:rPr>
                <w:rFonts w:hint="eastAsia"/>
              </w:rPr>
              <w:t>＿12＿小时</w:t>
            </w:r>
            <w:r>
              <w:rPr>
                <w:rFonts w:hint="eastAsia"/>
                <w:bCs/>
              </w:rPr>
              <w:t>内解决。</w:t>
            </w:r>
          </w:p>
        </w:tc>
      </w:tr>
      <w:tr w14:paraId="4B319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400" w:type="dxa"/>
            <w:tcBorders>
              <w:top w:val="single" w:color="auto" w:sz="4" w:space="0"/>
              <w:bottom w:val="single" w:color="auto" w:sz="4" w:space="0"/>
              <w:right w:val="single" w:color="auto" w:sz="4" w:space="0"/>
            </w:tcBorders>
            <w:vAlign w:val="center"/>
          </w:tcPr>
          <w:p w14:paraId="63E5EC64">
            <w:pPr>
              <w:keepNext w:val="0"/>
              <w:keepLines w:val="0"/>
              <w:suppressLineNumbers w:val="0"/>
              <w:spacing w:before="0" w:beforeAutospacing="0" w:afterAutospacing="0" w:line="276" w:lineRule="auto"/>
              <w:ind w:left="0" w:right="0"/>
              <w:rPr>
                <w:rFonts w:hint="eastAsia"/>
              </w:rPr>
            </w:pPr>
            <w:r>
              <w:rPr>
                <w:rFonts w:hint="eastAsia"/>
              </w:rPr>
              <w:t>培训要求</w:t>
            </w:r>
          </w:p>
        </w:tc>
        <w:tc>
          <w:tcPr>
            <w:tcW w:w="6930" w:type="dxa"/>
            <w:tcBorders>
              <w:top w:val="single" w:color="auto" w:sz="4" w:space="0"/>
              <w:left w:val="single" w:color="auto" w:sz="4" w:space="0"/>
              <w:bottom w:val="single" w:color="auto" w:sz="4" w:space="0"/>
            </w:tcBorders>
            <w:vAlign w:val="center"/>
          </w:tcPr>
          <w:p w14:paraId="5DEA3090">
            <w:pPr>
              <w:keepNext w:val="0"/>
              <w:keepLines w:val="0"/>
              <w:suppressLineNumbers w:val="0"/>
              <w:spacing w:before="0" w:beforeAutospacing="0" w:afterAutospacing="0" w:line="276" w:lineRule="auto"/>
              <w:ind w:left="0" w:right="0"/>
              <w:rPr>
                <w:rFonts w:hint="eastAsia"/>
              </w:rPr>
            </w:pPr>
            <w:r>
              <w:rPr>
                <w:rFonts w:hint="default"/>
              </w:rPr>
              <w:t>1.</w:t>
            </w:r>
            <w:r>
              <w:rPr>
                <w:rFonts w:hint="eastAsia"/>
              </w:rPr>
              <w:t>供应商</w:t>
            </w:r>
            <w:r>
              <w:rPr>
                <w:rFonts w:hint="default"/>
              </w:rPr>
              <w:t>应编制相关设备使用指导手册或说明书，提供针对教学操作人员、维护人员的培训内容及方案，直至能熟练、安全地操作、正确的维护。</w:t>
            </w:r>
          </w:p>
          <w:p w14:paraId="6477F7CA">
            <w:pPr>
              <w:keepNext w:val="0"/>
              <w:keepLines w:val="0"/>
              <w:suppressLineNumbers w:val="0"/>
              <w:spacing w:before="0" w:beforeAutospacing="0" w:afterAutospacing="0" w:line="276" w:lineRule="auto"/>
              <w:ind w:left="0" w:right="0"/>
              <w:rPr>
                <w:rFonts w:hint="eastAsia"/>
              </w:rPr>
            </w:pPr>
            <w:r>
              <w:rPr>
                <w:rFonts w:hint="default"/>
              </w:rPr>
              <w:t>2.</w:t>
            </w:r>
            <w:r>
              <w:rPr>
                <w:rFonts w:hint="eastAsia"/>
              </w:rPr>
              <w:t>供应商</w:t>
            </w:r>
            <w:r>
              <w:rPr>
                <w:rFonts w:hint="default"/>
              </w:rPr>
              <w:t>应为</w:t>
            </w:r>
            <w:r>
              <w:rPr>
                <w:rFonts w:hint="eastAsia"/>
              </w:rPr>
              <w:t>＿1＿</w:t>
            </w:r>
            <w:r>
              <w:rPr>
                <w:rFonts w:hint="default"/>
              </w:rPr>
              <w:t>名以上操作人员提供免费的操作</w:t>
            </w:r>
            <w:r>
              <w:rPr>
                <w:rFonts w:hint="eastAsia"/>
              </w:rPr>
              <w:t>指导</w:t>
            </w:r>
            <w:r>
              <w:rPr>
                <w:rFonts w:hint="default"/>
              </w:rPr>
              <w:t>及日常维护培训：</w:t>
            </w:r>
          </w:p>
          <w:p w14:paraId="4F69F725">
            <w:pPr>
              <w:keepNext w:val="0"/>
              <w:keepLines w:val="0"/>
              <w:suppressLineNumbers w:val="0"/>
              <w:spacing w:before="0" w:beforeAutospacing="0" w:afterAutospacing="0" w:line="276" w:lineRule="auto"/>
              <w:ind w:left="0" w:right="0"/>
              <w:rPr>
                <w:rFonts w:hint="eastAsia"/>
              </w:rPr>
            </w:pPr>
            <w:r>
              <w:rPr>
                <w:rFonts w:hint="eastAsia"/>
              </w:rPr>
              <w:t>供应商应对采购人的操作人员、维修人员免费进行培训。</w:t>
            </w:r>
          </w:p>
          <w:p w14:paraId="1D8122DC">
            <w:pPr>
              <w:keepNext w:val="0"/>
              <w:keepLines w:val="0"/>
              <w:suppressLineNumbers w:val="0"/>
              <w:spacing w:before="0" w:beforeAutospacing="0" w:afterAutospacing="0" w:line="276" w:lineRule="auto"/>
              <w:ind w:left="0" w:right="0"/>
              <w:rPr>
                <w:rFonts w:hint="eastAsia"/>
              </w:rPr>
            </w:pPr>
            <w:r>
              <w:rPr>
                <w:rFonts w:hint="eastAsia"/>
              </w:rPr>
              <w:t>供应商应提供相应的培训计划。</w:t>
            </w:r>
          </w:p>
          <w:p w14:paraId="70633CF2">
            <w:pPr>
              <w:keepNext w:val="0"/>
              <w:keepLines w:val="0"/>
              <w:suppressLineNumbers w:val="0"/>
              <w:spacing w:before="0" w:beforeAutospacing="0" w:afterAutospacing="0" w:line="276" w:lineRule="auto"/>
              <w:ind w:left="0" w:right="0"/>
              <w:rPr>
                <w:rFonts w:hint="eastAsia"/>
              </w:rPr>
            </w:pPr>
            <w:r>
              <w:rPr>
                <w:rFonts w:hint="eastAsia"/>
              </w:rPr>
              <w:t>供应商应对上述内容的实现方式、地点、人数、时间在投标文件中详细说明。</w:t>
            </w:r>
          </w:p>
          <w:p w14:paraId="2DE12317">
            <w:pPr>
              <w:keepNext w:val="0"/>
              <w:keepLines w:val="0"/>
              <w:suppressLineNumbers w:val="0"/>
              <w:spacing w:before="0" w:beforeAutospacing="0" w:afterAutospacing="0" w:line="276" w:lineRule="auto"/>
              <w:ind w:left="0" w:right="0"/>
              <w:rPr>
                <w:rFonts w:hint="eastAsia"/>
              </w:rPr>
            </w:pPr>
            <w:r>
              <w:rPr>
                <w:rFonts w:hint="default"/>
              </w:rPr>
              <w:t>3.培训相关费用含在报价中。</w:t>
            </w:r>
          </w:p>
        </w:tc>
      </w:tr>
      <w:tr w14:paraId="2568B0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400" w:type="dxa"/>
            <w:tcBorders>
              <w:top w:val="single" w:color="auto" w:sz="4" w:space="0"/>
              <w:bottom w:val="single" w:color="auto" w:sz="4" w:space="0"/>
              <w:right w:val="single" w:color="auto" w:sz="4" w:space="0"/>
            </w:tcBorders>
            <w:vAlign w:val="center"/>
          </w:tcPr>
          <w:p w14:paraId="3DB1A405">
            <w:pPr>
              <w:keepNext w:val="0"/>
              <w:keepLines w:val="0"/>
              <w:suppressLineNumbers w:val="0"/>
              <w:spacing w:before="0" w:beforeAutospacing="0" w:afterAutospacing="0" w:line="276" w:lineRule="auto"/>
              <w:ind w:left="0" w:right="0"/>
              <w:rPr>
                <w:rFonts w:hint="eastAsia"/>
              </w:rPr>
            </w:pPr>
            <w:r>
              <w:rPr>
                <w:rFonts w:hint="eastAsia"/>
              </w:rPr>
              <w:t>交货地点</w:t>
            </w:r>
          </w:p>
        </w:tc>
        <w:tc>
          <w:tcPr>
            <w:tcW w:w="6930" w:type="dxa"/>
            <w:tcBorders>
              <w:top w:val="single" w:color="auto" w:sz="4" w:space="0"/>
              <w:left w:val="single" w:color="auto" w:sz="4" w:space="0"/>
              <w:bottom w:val="single" w:color="auto" w:sz="4" w:space="0"/>
            </w:tcBorders>
            <w:vAlign w:val="center"/>
          </w:tcPr>
          <w:p w14:paraId="3EC03538">
            <w:pPr>
              <w:keepNext w:val="0"/>
              <w:keepLines w:val="0"/>
              <w:suppressLineNumbers w:val="0"/>
              <w:spacing w:before="0" w:beforeAutospacing="0" w:afterAutospacing="0" w:line="276" w:lineRule="auto"/>
              <w:ind w:left="0" w:right="0"/>
              <w:rPr>
                <w:rFonts w:hint="eastAsia"/>
              </w:rPr>
            </w:pPr>
            <w:r>
              <w:rPr>
                <w:rFonts w:hint="eastAsia"/>
              </w:rPr>
              <w:t>采购人要求的指定地点。</w:t>
            </w:r>
          </w:p>
        </w:tc>
      </w:tr>
      <w:tr w14:paraId="0B504C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400" w:type="dxa"/>
            <w:tcBorders>
              <w:top w:val="single" w:color="auto" w:sz="4" w:space="0"/>
              <w:bottom w:val="single" w:color="auto" w:sz="4" w:space="0"/>
              <w:right w:val="single" w:color="auto" w:sz="4" w:space="0"/>
            </w:tcBorders>
            <w:vAlign w:val="center"/>
          </w:tcPr>
          <w:p w14:paraId="387D66D0">
            <w:pPr>
              <w:keepNext w:val="0"/>
              <w:keepLines w:val="0"/>
              <w:suppressLineNumbers w:val="0"/>
              <w:spacing w:before="0" w:beforeAutospacing="0" w:afterAutospacing="0" w:line="276" w:lineRule="auto"/>
              <w:ind w:left="0" w:right="0"/>
              <w:rPr>
                <w:rFonts w:hint="eastAsia"/>
              </w:rPr>
            </w:pPr>
            <w:r>
              <w:rPr>
                <w:rFonts w:hint="eastAsia"/>
              </w:rPr>
              <w:t>验收标准</w:t>
            </w:r>
          </w:p>
        </w:tc>
        <w:tc>
          <w:tcPr>
            <w:tcW w:w="6930" w:type="dxa"/>
            <w:tcBorders>
              <w:top w:val="single" w:color="auto" w:sz="4" w:space="0"/>
              <w:left w:val="single" w:color="auto" w:sz="4" w:space="0"/>
              <w:bottom w:val="single" w:color="auto" w:sz="4" w:space="0"/>
            </w:tcBorders>
            <w:vAlign w:val="center"/>
          </w:tcPr>
          <w:p w14:paraId="366BCE4D">
            <w:pPr>
              <w:keepNext w:val="0"/>
              <w:keepLines w:val="0"/>
              <w:suppressLineNumbers w:val="0"/>
              <w:spacing w:before="0" w:beforeAutospacing="0" w:afterAutospacing="0" w:line="276" w:lineRule="auto"/>
              <w:ind w:left="0" w:right="0"/>
              <w:rPr>
                <w:rFonts w:hint="eastAsia"/>
              </w:rPr>
            </w:pPr>
            <w:r>
              <w:rPr>
                <w:rFonts w:hint="default"/>
              </w:rPr>
              <w:t>1.验收由</w:t>
            </w:r>
            <w:r>
              <w:rPr>
                <w:rFonts w:hint="eastAsia"/>
              </w:rPr>
              <w:t>业务归口部门或</w:t>
            </w:r>
            <w:r>
              <w:rPr>
                <w:rFonts w:hint="default"/>
              </w:rPr>
              <w:t>采购人负责实施；</w:t>
            </w:r>
          </w:p>
          <w:p w14:paraId="457E091C">
            <w:pPr>
              <w:keepNext w:val="0"/>
              <w:keepLines w:val="0"/>
              <w:suppressLineNumbers w:val="0"/>
              <w:spacing w:before="0" w:beforeAutospacing="0" w:afterAutospacing="0" w:line="276" w:lineRule="auto"/>
              <w:ind w:left="0" w:right="0"/>
              <w:rPr>
                <w:rFonts w:hint="eastAsia"/>
              </w:rPr>
            </w:pPr>
            <w:r>
              <w:rPr>
                <w:rFonts w:hint="default"/>
              </w:rPr>
              <w:t>2.验收依据：</w:t>
            </w:r>
          </w:p>
          <w:p w14:paraId="40009293">
            <w:pPr>
              <w:keepNext w:val="0"/>
              <w:keepLines w:val="0"/>
              <w:suppressLineNumbers w:val="0"/>
              <w:spacing w:before="0" w:beforeAutospacing="0" w:afterAutospacing="0" w:line="276" w:lineRule="auto"/>
              <w:ind w:left="0" w:right="0"/>
              <w:rPr>
                <w:rFonts w:hint="eastAsia"/>
              </w:rPr>
            </w:pPr>
            <w:r>
              <w:rPr>
                <w:rFonts w:hint="default"/>
              </w:rPr>
              <w:t>2.1合同、招标文件、投标文件；</w:t>
            </w:r>
          </w:p>
          <w:p w14:paraId="41760117">
            <w:pPr>
              <w:keepNext w:val="0"/>
              <w:keepLines w:val="0"/>
              <w:suppressLineNumbers w:val="0"/>
              <w:spacing w:before="0" w:beforeAutospacing="0" w:afterAutospacing="0" w:line="276" w:lineRule="auto"/>
              <w:ind w:left="0" w:right="0"/>
              <w:rPr>
                <w:rFonts w:hint="eastAsia"/>
              </w:rPr>
            </w:pPr>
            <w:r>
              <w:rPr>
                <w:rFonts w:hint="default"/>
              </w:rPr>
              <w:t>2.2供应商提供的技术规格、经采购人认可的合同货物的有效检验文件；</w:t>
            </w:r>
          </w:p>
          <w:p w14:paraId="188517BC">
            <w:pPr>
              <w:keepNext w:val="0"/>
              <w:keepLines w:val="0"/>
              <w:suppressLineNumbers w:val="0"/>
              <w:spacing w:before="0" w:beforeAutospacing="0" w:afterAutospacing="0" w:line="276" w:lineRule="auto"/>
              <w:ind w:left="0" w:right="0"/>
              <w:rPr>
                <w:rFonts w:hint="eastAsia"/>
              </w:rPr>
            </w:pPr>
            <w:r>
              <w:rPr>
                <w:rFonts w:hint="default"/>
              </w:rPr>
              <w:t>2.3供应商投标文件中提供的经采购人认可的合同货物的验收标准（符合中国有关的国家、地方、行业标准）和检测办法及相应检测手段。</w:t>
            </w:r>
          </w:p>
          <w:p w14:paraId="7351E5EA">
            <w:pPr>
              <w:keepNext w:val="0"/>
              <w:keepLines w:val="0"/>
              <w:suppressLineNumbers w:val="0"/>
              <w:spacing w:before="0" w:beforeAutospacing="0" w:afterAutospacing="0" w:line="276" w:lineRule="auto"/>
              <w:ind w:left="0" w:right="0"/>
              <w:rPr>
                <w:rFonts w:hint="eastAsia"/>
              </w:rPr>
            </w:pPr>
            <w:r>
              <w:rPr>
                <w:rFonts w:hint="default"/>
              </w:rPr>
              <w:t>3.供应商应派员在所供货物到采购人处时进行到货验收，有需要时能联系产品制造商到场共同验收，若发现任何损坏及质量问题，供应商负责妥善处理直至采购人满意，由此产生的费用由供应商承担。</w:t>
            </w:r>
          </w:p>
          <w:p w14:paraId="25C95C60">
            <w:pPr>
              <w:keepNext w:val="0"/>
              <w:keepLines w:val="0"/>
              <w:suppressLineNumbers w:val="0"/>
              <w:spacing w:before="0" w:beforeAutospacing="0" w:afterAutospacing="0" w:line="276" w:lineRule="auto"/>
              <w:ind w:left="0" w:right="0"/>
              <w:rPr>
                <w:rFonts w:hint="eastAsia"/>
              </w:rPr>
            </w:pPr>
            <w:r>
              <w:rPr>
                <w:rFonts w:hint="default"/>
              </w:rPr>
              <w:t>4.验收合格的条件：</w:t>
            </w:r>
          </w:p>
          <w:p w14:paraId="0A8058E2">
            <w:pPr>
              <w:keepNext w:val="0"/>
              <w:keepLines w:val="0"/>
              <w:suppressLineNumbers w:val="0"/>
              <w:spacing w:before="0" w:beforeAutospacing="0" w:afterAutospacing="0" w:line="276" w:lineRule="auto"/>
              <w:ind w:left="0" w:right="0"/>
              <w:rPr>
                <w:rFonts w:hint="eastAsia"/>
              </w:rPr>
            </w:pPr>
            <w:r>
              <w:rPr>
                <w:rFonts w:hint="default"/>
              </w:rPr>
              <w:t>4.1所供货物符合产品标准和合同的要求；</w:t>
            </w:r>
          </w:p>
          <w:p w14:paraId="14478CCB">
            <w:pPr>
              <w:keepNext w:val="0"/>
              <w:keepLines w:val="0"/>
              <w:suppressLineNumbers w:val="0"/>
              <w:spacing w:before="0" w:beforeAutospacing="0" w:afterAutospacing="0" w:line="276" w:lineRule="auto"/>
              <w:ind w:left="0" w:right="0"/>
              <w:rPr>
                <w:rFonts w:hint="eastAsia"/>
              </w:rPr>
            </w:pPr>
            <w:r>
              <w:rPr>
                <w:rFonts w:hint="default"/>
              </w:rPr>
              <w:t>4.2在进行测试和验收过程中发现的问题已被解决并得到采购人的认可；</w:t>
            </w:r>
          </w:p>
          <w:p w14:paraId="6452FFDB">
            <w:pPr>
              <w:keepNext w:val="0"/>
              <w:keepLines w:val="0"/>
              <w:suppressLineNumbers w:val="0"/>
              <w:spacing w:before="0" w:beforeAutospacing="0" w:afterAutospacing="0" w:line="276" w:lineRule="auto"/>
              <w:ind w:left="0" w:right="0"/>
              <w:rPr>
                <w:rFonts w:hint="eastAsia"/>
              </w:rPr>
            </w:pPr>
            <w:r>
              <w:rPr>
                <w:rFonts w:hint="default"/>
              </w:rPr>
              <w:t>4.3合同中规定的所有货物和材料均已交付；</w:t>
            </w:r>
          </w:p>
          <w:p w14:paraId="2F1DFF31">
            <w:pPr>
              <w:keepNext w:val="0"/>
              <w:keepLines w:val="0"/>
              <w:suppressLineNumbers w:val="0"/>
              <w:spacing w:before="0" w:beforeAutospacing="0" w:afterAutospacing="0" w:line="276" w:lineRule="auto"/>
              <w:ind w:left="0" w:right="0"/>
              <w:rPr>
                <w:rFonts w:hint="eastAsia"/>
              </w:rPr>
            </w:pPr>
            <w:r>
              <w:rPr>
                <w:rFonts w:hint="default"/>
              </w:rPr>
              <w:t>4.4所供货物已通过使用单位组织的验收；</w:t>
            </w:r>
          </w:p>
          <w:p w14:paraId="5BA3B77D">
            <w:pPr>
              <w:keepNext w:val="0"/>
              <w:keepLines w:val="0"/>
              <w:suppressLineNumbers w:val="0"/>
              <w:spacing w:before="0" w:beforeAutospacing="0" w:afterAutospacing="0" w:line="276" w:lineRule="auto"/>
              <w:ind w:left="0" w:right="0"/>
              <w:rPr>
                <w:rFonts w:hint="eastAsia"/>
              </w:rPr>
            </w:pPr>
            <w:r>
              <w:rPr>
                <w:rFonts w:hint="default"/>
              </w:rPr>
              <w:t>4.5所有相关的技术文件及资料均已提交并得到接受。</w:t>
            </w:r>
          </w:p>
        </w:tc>
      </w:tr>
      <w:tr w14:paraId="31911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400" w:type="dxa"/>
            <w:tcBorders>
              <w:top w:val="single" w:color="auto" w:sz="4" w:space="0"/>
              <w:bottom w:val="single" w:color="auto" w:sz="4" w:space="0"/>
              <w:right w:val="single" w:color="auto" w:sz="4" w:space="0"/>
            </w:tcBorders>
            <w:vAlign w:val="center"/>
          </w:tcPr>
          <w:p w14:paraId="62B56770">
            <w:pPr>
              <w:keepNext w:val="0"/>
              <w:keepLines w:val="0"/>
              <w:suppressLineNumbers w:val="0"/>
              <w:spacing w:before="0" w:beforeAutospacing="0" w:afterAutospacing="0"/>
              <w:ind w:left="0" w:right="0"/>
              <w:rPr>
                <w:rFonts w:hint="eastAsia"/>
              </w:rPr>
            </w:pPr>
            <w:r>
              <w:rPr>
                <w:rFonts w:hint="eastAsia"/>
                <w:color w:val="000000" w:themeColor="text1"/>
                <w14:textFill>
                  <w14:solidFill>
                    <w14:schemeClr w14:val="tx1"/>
                  </w14:solidFill>
                </w14:textFill>
              </w:rPr>
              <w:t>供应商资信要求</w:t>
            </w:r>
          </w:p>
        </w:tc>
        <w:tc>
          <w:tcPr>
            <w:tcW w:w="6930" w:type="dxa"/>
            <w:tcBorders>
              <w:top w:val="single" w:color="auto" w:sz="4" w:space="0"/>
              <w:left w:val="single" w:color="auto" w:sz="4" w:space="0"/>
              <w:bottom w:val="single" w:color="auto" w:sz="4" w:space="0"/>
            </w:tcBorders>
            <w:vAlign w:val="center"/>
          </w:tcPr>
          <w:p w14:paraId="54E224CD">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1. 供应商须为国内独立法人主体，持有合法有效的营业执照，营业执照经营范围应包含计算机及网络设备销售，或机房建设、系统集成等相关业务，能够独立承担本项目设备供货、机房电源与网络改造施工、安装调试、售后质保等全部工作内容。</w:t>
            </w:r>
          </w:p>
          <w:p w14:paraId="07607022">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2. 供应商具备良好的商业信誉，不存在重大违法失信相关记录。</w:t>
            </w:r>
          </w:p>
          <w:p w14:paraId="4BDCAEBE">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3. 供应商拥有正规合法的设备供货渠道，所投设备均为原厂全新正品、合规行货，能够提供原厂标准质保服务；同时具备机房电源改造、网络布线、系统调试等工程实施能力，熟悉相关行业施工规范，可独立完成现场勘测、施工改造、调试验收、交付交底全流程工作，具有同类项目实施业绩经验。</w:t>
            </w:r>
          </w:p>
          <w:p w14:paraId="6A3EA9A3">
            <w:pPr>
              <w:keepNext w:val="0"/>
              <w:keepLines w:val="0"/>
              <w:widowControl/>
              <w:suppressLineNumbers w:val="0"/>
              <w:spacing w:before="0" w:beforeAutospacing="0" w:afterAutospacing="0"/>
              <w:ind w:left="0" w:right="0"/>
              <w:jc w:val="left"/>
              <w:rPr>
                <w:rFonts w:hint="default"/>
                <w:woUserID w:val="1"/>
              </w:rPr>
            </w:pPr>
            <w:r>
              <w:rPr>
                <w:rFonts w:hint="eastAsia" w:ascii="等线" w:hAnsi="等线" w:eastAsia="等线" w:cs="Times New Roman"/>
                <w:kern w:val="2"/>
                <w:sz w:val="21"/>
                <w:szCs w:val="22"/>
                <w:lang w:val="en-US" w:eastAsia="zh-CN" w:bidi="ar"/>
                <w:woUserID w:val="1"/>
              </w:rPr>
              <w:t>4. 供应商在项目所在地具备本地化售后服务能力，可实现故障快速现场响应，提供设备到货调试、项目验收配合等相关服务。</w:t>
            </w:r>
            <w:r>
              <w:rPr>
                <w:rFonts w:hint="eastAsia" w:ascii="宋体" w:hAnsi="宋体" w:eastAsia="宋体" w:cs="宋体"/>
                <w:kern w:val="2"/>
                <w:sz w:val="24"/>
                <w:szCs w:val="24"/>
                <w:lang w:val="en-US" w:eastAsia="zh-CN" w:bidi="ar"/>
                <w:woUserID w:val="1"/>
              </w:rPr>
              <w:t xml:space="preserve"> </w:t>
            </w:r>
          </w:p>
          <w:p w14:paraId="6AE8AA73">
            <w:pPr>
              <w:keepNext w:val="0"/>
              <w:keepLines w:val="0"/>
              <w:suppressLineNumbers w:val="0"/>
              <w:spacing w:before="0" w:beforeAutospacing="0" w:afterAutospacing="0" w:line="276" w:lineRule="auto"/>
              <w:ind w:left="0" w:right="0"/>
              <w:rPr>
                <w:rFonts w:hint="eastAsia"/>
              </w:rPr>
            </w:pPr>
          </w:p>
        </w:tc>
      </w:tr>
      <w:tr w14:paraId="2FAD4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400" w:type="dxa"/>
            <w:tcBorders>
              <w:top w:val="single" w:color="auto" w:sz="4" w:space="0"/>
              <w:bottom w:val="single" w:color="auto" w:sz="4" w:space="0"/>
              <w:right w:val="single" w:color="auto" w:sz="4" w:space="0"/>
            </w:tcBorders>
            <w:vAlign w:val="center"/>
          </w:tcPr>
          <w:p w14:paraId="1A0171C7">
            <w:pPr>
              <w:keepNext w:val="0"/>
              <w:keepLines w:val="0"/>
              <w:suppressLineNumbers w:val="0"/>
              <w:spacing w:before="0" w:beforeAutospacing="0" w:afterAutospacing="0"/>
              <w:ind w:left="0" w:right="0"/>
              <w:rPr>
                <w:rFonts w:hint="eastAsia"/>
              </w:rPr>
            </w:pPr>
            <w:r>
              <w:rPr>
                <w:rFonts w:hint="eastAsia"/>
                <w:color w:val="000000" w:themeColor="text1"/>
                <w14:textFill>
                  <w14:solidFill>
                    <w14:schemeClr w14:val="tx1"/>
                  </w14:solidFill>
                </w14:textFill>
              </w:rPr>
              <w:t>违约责任</w:t>
            </w:r>
          </w:p>
        </w:tc>
        <w:tc>
          <w:tcPr>
            <w:tcW w:w="6930" w:type="dxa"/>
            <w:tcBorders>
              <w:top w:val="single" w:color="auto" w:sz="4" w:space="0"/>
              <w:left w:val="single" w:color="auto" w:sz="4" w:space="0"/>
              <w:bottom w:val="single" w:color="auto" w:sz="4" w:space="0"/>
            </w:tcBorders>
            <w:vAlign w:val="center"/>
          </w:tcPr>
          <w:p w14:paraId="197F47EB">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1. 供应商逾期供货的，每逾期一日按合同总价 0.05% 计收违约金；逾期 15 日以上，采购人有权取消采购，供应商承担相应损失。</w:t>
            </w:r>
          </w:p>
          <w:p w14:paraId="4075E3AE">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2. 若所供设备为翻新、拆机、水货，或配置型号与采购需求不符，采购人有权拒收，供应商须 7 日内更换全新正品，并承担合同总价 10% 违约金，造成损失予以赔偿。</w:t>
            </w:r>
          </w:p>
          <w:p w14:paraId="1F6E3334">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3. 严禁转包分包、伪造授权材料，一经发现采购人有权取消成交资格，追究违约责任。</w:t>
            </w:r>
          </w:p>
          <w:p w14:paraId="7A4428C1">
            <w:pPr>
              <w:keepNext w:val="0"/>
              <w:keepLines w:val="0"/>
              <w:widowControl w:val="0"/>
              <w:suppressLineNumbers w:val="0"/>
              <w:spacing w:before="0" w:beforeAutospacing="0" w:after="160" w:afterAutospacing="0" w:line="276" w:lineRule="auto"/>
              <w:ind w:left="0" w:right="0"/>
              <w:jc w:val="both"/>
              <w:rPr>
                <w:rFonts w:hint="default"/>
                <w:lang w:val="en-US"/>
                <w:woUserID w:val="1"/>
              </w:rPr>
            </w:pPr>
            <w:r>
              <w:rPr>
                <w:rFonts w:hint="eastAsia" w:ascii="等线" w:hAnsi="等线" w:eastAsia="等线" w:cs="Times New Roman"/>
                <w:kern w:val="2"/>
                <w:sz w:val="21"/>
                <w:szCs w:val="22"/>
                <w:lang w:val="en-US" w:eastAsia="zh-CN" w:bidi="ar"/>
                <w:woUserID w:val="1"/>
              </w:rPr>
              <w:t>4. 供应商未履行响应、上门、质保等售后服务承诺，采购人有权扣除相应款项，由此产生第三方服务费用全部由供应商承担。</w:t>
            </w:r>
          </w:p>
          <w:p w14:paraId="12ADDADC">
            <w:pPr>
              <w:keepNext w:val="0"/>
              <w:keepLines w:val="0"/>
              <w:widowControl/>
              <w:suppressLineNumbers w:val="0"/>
              <w:spacing w:before="0" w:beforeAutospacing="0" w:afterAutospacing="0"/>
              <w:ind w:left="0" w:right="0"/>
              <w:jc w:val="left"/>
              <w:rPr>
                <w:rFonts w:hint="default"/>
                <w:woUserID w:val="1"/>
              </w:rPr>
            </w:pPr>
            <w:r>
              <w:rPr>
                <w:rFonts w:hint="eastAsia" w:ascii="等线" w:hAnsi="等线" w:eastAsia="等线" w:cs="Times New Roman"/>
                <w:kern w:val="2"/>
                <w:sz w:val="21"/>
                <w:szCs w:val="22"/>
                <w:lang w:val="en-US" w:eastAsia="zh-CN" w:bidi="ar"/>
                <w:woUserID w:val="1"/>
              </w:rPr>
              <w:t>5. 违约金可从货款中直接抵扣。</w:t>
            </w:r>
            <w:r>
              <w:rPr>
                <w:rFonts w:hint="eastAsia" w:ascii="宋体" w:hAnsi="宋体" w:eastAsia="宋体" w:cs="宋体"/>
                <w:kern w:val="2"/>
                <w:sz w:val="24"/>
                <w:szCs w:val="24"/>
                <w:lang w:val="en-US" w:eastAsia="zh-CN" w:bidi="ar"/>
                <w:woUserID w:val="1"/>
              </w:rPr>
              <w:t xml:space="preserve"> </w:t>
            </w:r>
          </w:p>
          <w:p w14:paraId="2CBCA1C4">
            <w:pPr>
              <w:keepNext w:val="0"/>
              <w:keepLines w:val="0"/>
              <w:suppressLineNumbers w:val="0"/>
              <w:spacing w:before="0" w:beforeAutospacing="0" w:afterAutospacing="0" w:line="276" w:lineRule="auto"/>
              <w:ind w:left="0" w:right="0"/>
              <w:rPr>
                <w:rFonts w:hint="eastAsia"/>
              </w:rPr>
            </w:pPr>
          </w:p>
        </w:tc>
      </w:tr>
      <w:tr w14:paraId="62A8F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400" w:type="dxa"/>
            <w:tcBorders>
              <w:top w:val="single" w:color="auto" w:sz="4" w:space="0"/>
              <w:bottom w:val="single" w:color="auto" w:sz="4" w:space="0"/>
              <w:right w:val="single" w:color="auto" w:sz="4" w:space="0"/>
            </w:tcBorders>
            <w:vAlign w:val="center"/>
          </w:tcPr>
          <w:p w14:paraId="61861DE4">
            <w:pPr>
              <w:keepNext w:val="0"/>
              <w:keepLines w:val="0"/>
              <w:suppressLineNumbers w:val="0"/>
              <w:spacing w:before="0" w:beforeAutospacing="0" w:afterAutospacing="0" w:line="276" w:lineRule="auto"/>
              <w:ind w:left="0" w:right="0"/>
              <w:rPr>
                <w:rFonts w:hint="eastAsia"/>
              </w:rPr>
            </w:pPr>
            <w:r>
              <w:rPr>
                <w:rFonts w:hint="eastAsia"/>
              </w:rPr>
              <w:t>售后服务</w:t>
            </w:r>
          </w:p>
        </w:tc>
        <w:tc>
          <w:tcPr>
            <w:tcW w:w="6930" w:type="dxa"/>
            <w:tcBorders>
              <w:top w:val="single" w:color="auto" w:sz="4" w:space="0"/>
              <w:left w:val="single" w:color="auto" w:sz="4" w:space="0"/>
              <w:bottom w:val="single" w:color="auto" w:sz="4" w:space="0"/>
            </w:tcBorders>
            <w:vAlign w:val="center"/>
          </w:tcPr>
          <w:p w14:paraId="04F6BABF">
            <w:pPr>
              <w:keepNext w:val="0"/>
              <w:keepLines w:val="0"/>
              <w:suppressLineNumbers w:val="0"/>
              <w:spacing w:before="0" w:beforeAutospacing="0" w:afterAutospacing="0" w:line="276" w:lineRule="auto"/>
              <w:ind w:left="0" w:right="0"/>
              <w:rPr>
                <w:rFonts w:hint="eastAsia"/>
              </w:rPr>
            </w:pPr>
            <w:r>
              <w:rPr>
                <w:rFonts w:hint="eastAsia"/>
              </w:rPr>
              <w:t>1</w:t>
            </w:r>
            <w:r>
              <w:rPr>
                <w:rFonts w:hint="default"/>
              </w:rPr>
              <w:t>.质保期外更换零配件按成本价计。</w:t>
            </w:r>
          </w:p>
          <w:p w14:paraId="21EC7879">
            <w:pPr>
              <w:keepNext w:val="0"/>
              <w:keepLines w:val="0"/>
              <w:suppressLineNumbers w:val="0"/>
              <w:spacing w:before="0" w:beforeAutospacing="0" w:afterAutospacing="0" w:line="276" w:lineRule="auto"/>
              <w:ind w:left="0" w:right="0"/>
              <w:rPr>
                <w:rFonts w:hint="eastAsia"/>
              </w:rPr>
            </w:pPr>
            <w:r>
              <w:rPr>
                <w:rFonts w:hint="eastAsia"/>
              </w:rPr>
              <w:t>2</w:t>
            </w:r>
            <w:r>
              <w:rPr>
                <w:rFonts w:hint="default"/>
              </w:rPr>
              <w:t>.供应商应提供充足的备品备件，以满足采购人维修需求。</w:t>
            </w:r>
          </w:p>
          <w:p w14:paraId="328198D2">
            <w:pPr>
              <w:keepNext w:val="0"/>
              <w:keepLines w:val="0"/>
              <w:suppressLineNumbers w:val="0"/>
              <w:spacing w:before="0" w:beforeAutospacing="0" w:afterAutospacing="0" w:line="276" w:lineRule="auto"/>
              <w:ind w:left="0" w:right="0"/>
              <w:rPr>
                <w:rFonts w:hint="eastAsia"/>
              </w:rPr>
            </w:pPr>
            <w:r>
              <w:rPr>
                <w:rFonts w:hint="eastAsia"/>
              </w:rPr>
              <w:t>3</w:t>
            </w:r>
            <w:r>
              <w:rPr>
                <w:rFonts w:hint="default"/>
              </w:rPr>
              <w:t>.设备正常运行需要耗品耗材（或者备品备件）的，产品清单已明确的耗品耗材（或者备品备件）请包含在报价中。投标文件中需提供耗品耗材（或者备品备件）方案，告知采购人一般多长时间更换，后期材料每更换一次经费数额等内容。（如需）</w:t>
            </w:r>
          </w:p>
        </w:tc>
      </w:tr>
    </w:tbl>
    <w:p w14:paraId="62E33387">
      <w:pPr>
        <w:spacing w:line="276" w:lineRule="auto"/>
        <w:rPr>
          <w:rFonts w:hint="eastAsia"/>
          <w:b/>
        </w:rPr>
      </w:pPr>
      <w:bookmarkStart w:id="1" w:name="_Toc2674"/>
      <w:bookmarkStart w:id="2" w:name="_Toc72421946"/>
      <w:bookmarkStart w:id="3" w:name="_Toc45803923"/>
      <w:r>
        <w:rPr>
          <w:rFonts w:hint="eastAsia"/>
          <w:b/>
        </w:rPr>
        <w:t>四、其他要求</w:t>
      </w:r>
      <w:bookmarkEnd w:id="1"/>
      <w:bookmarkEnd w:id="2"/>
      <w:bookmarkEnd w:id="3"/>
    </w:p>
    <w:tbl>
      <w:tblPr>
        <w:tblStyle w:val="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6883"/>
      </w:tblGrid>
      <w:tr w14:paraId="6A0F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0FB0BE04">
            <w:pPr>
              <w:keepNext w:val="0"/>
              <w:keepLines w:val="0"/>
              <w:suppressLineNumbers w:val="0"/>
              <w:spacing w:before="0" w:beforeAutospacing="0" w:afterAutospacing="0" w:line="276" w:lineRule="auto"/>
              <w:ind w:left="0" w:right="0"/>
              <w:rPr>
                <w:rFonts w:hint="eastAsia"/>
              </w:rPr>
            </w:pPr>
            <w:r>
              <w:rPr>
                <w:rFonts w:hint="eastAsia"/>
              </w:rPr>
              <w:t>根据采购清单完善系统配置</w:t>
            </w:r>
          </w:p>
        </w:tc>
        <w:tc>
          <w:tcPr>
            <w:tcW w:w="6883" w:type="dxa"/>
          </w:tcPr>
          <w:p w14:paraId="5CB78DB5">
            <w:pPr>
              <w:keepNext w:val="0"/>
              <w:keepLines w:val="0"/>
              <w:suppressLineNumbers w:val="0"/>
              <w:spacing w:before="0" w:beforeAutospacing="0" w:afterAutospacing="0" w:line="276" w:lineRule="auto"/>
              <w:ind w:left="0" w:right="0"/>
              <w:rPr>
                <w:rFonts w:hint="eastAsia"/>
              </w:rPr>
            </w:pPr>
            <w:r>
              <w:rPr>
                <w:rFonts w:hint="default"/>
              </w:rPr>
              <w:t>1.投标时，</w:t>
            </w:r>
            <w:r>
              <w:rPr>
                <w:rFonts w:hint="eastAsia"/>
              </w:rPr>
              <w:t>供应商</w:t>
            </w:r>
            <w:r>
              <w:rPr>
                <w:rFonts w:hint="default"/>
              </w:rPr>
              <w:t>根据系统设备清单中的性能指标、技术参数提供投标产品，完善系统配置。</w:t>
            </w:r>
          </w:p>
          <w:p w14:paraId="3C5A7D46">
            <w:pPr>
              <w:keepNext w:val="0"/>
              <w:keepLines w:val="0"/>
              <w:suppressLineNumbers w:val="0"/>
              <w:spacing w:before="0" w:beforeAutospacing="0" w:afterAutospacing="0" w:line="276" w:lineRule="auto"/>
              <w:ind w:left="0" w:right="0"/>
              <w:rPr>
                <w:rFonts w:hint="eastAsia"/>
              </w:rPr>
            </w:pPr>
            <w:r>
              <w:rPr>
                <w:rFonts w:hint="default"/>
              </w:rPr>
              <w:t>2.如中标，最终方案经采购人确认通过后方可设施。</w:t>
            </w:r>
          </w:p>
        </w:tc>
      </w:tr>
      <w:tr w14:paraId="1521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19FFA966">
            <w:pPr>
              <w:keepNext w:val="0"/>
              <w:keepLines w:val="0"/>
              <w:suppressLineNumbers w:val="0"/>
              <w:spacing w:before="0" w:beforeAutospacing="0" w:afterAutospacing="0" w:line="276" w:lineRule="auto"/>
              <w:ind w:left="0" w:right="0"/>
              <w:rPr>
                <w:rFonts w:hint="eastAsia"/>
              </w:rPr>
            </w:pPr>
            <w:r>
              <w:rPr>
                <w:rFonts w:hint="eastAsia"/>
              </w:rPr>
              <w:t>供货要求</w:t>
            </w:r>
          </w:p>
        </w:tc>
        <w:tc>
          <w:tcPr>
            <w:tcW w:w="6883" w:type="dxa"/>
          </w:tcPr>
          <w:p w14:paraId="236FD6D8">
            <w:pPr>
              <w:keepNext w:val="0"/>
              <w:keepLines w:val="0"/>
              <w:suppressLineNumbers w:val="0"/>
              <w:spacing w:before="0" w:beforeAutospacing="0" w:afterAutospacing="0" w:line="276" w:lineRule="auto"/>
              <w:ind w:left="0" w:right="0"/>
              <w:rPr>
                <w:rFonts w:hint="eastAsia"/>
              </w:rPr>
            </w:pPr>
            <w:r>
              <w:rPr>
                <w:rFonts w:hint="default"/>
              </w:rPr>
              <w:t>1.本项目所有货物均由供应商供应。</w:t>
            </w:r>
          </w:p>
          <w:p w14:paraId="3C120BAB">
            <w:pPr>
              <w:keepNext w:val="0"/>
              <w:keepLines w:val="0"/>
              <w:suppressLineNumbers w:val="0"/>
              <w:spacing w:before="0" w:beforeAutospacing="0" w:afterAutospacing="0" w:line="276" w:lineRule="auto"/>
              <w:ind w:left="0" w:right="0"/>
              <w:rPr>
                <w:rFonts w:hint="eastAsia"/>
              </w:rPr>
            </w:pPr>
            <w:r>
              <w:rPr>
                <w:rFonts w:hint="default"/>
              </w:rPr>
              <w:t>2.所投产品需为原厂全新产品，符合国家、行业技术规范和质量标准。本项目执行的标准、规范如有相关国家标准及规范的，应符合相关国家标准及规范。本项目货物所使用的标准如与供应商所执行的标准发生矛盾时，按照较高标准执行，同时供应商应在投标文件中加以注明，并附上引用标准和高标准造成成本以及报价差异说明。</w:t>
            </w:r>
          </w:p>
          <w:p w14:paraId="50828725">
            <w:pPr>
              <w:keepNext w:val="0"/>
              <w:keepLines w:val="0"/>
              <w:suppressLineNumbers w:val="0"/>
              <w:spacing w:before="0" w:beforeAutospacing="0" w:afterAutospacing="0" w:line="276" w:lineRule="auto"/>
              <w:ind w:left="0" w:right="0"/>
              <w:rPr>
                <w:rFonts w:hint="eastAsia"/>
              </w:rPr>
            </w:pPr>
            <w:r>
              <w:rPr>
                <w:rFonts w:hint="default"/>
              </w:rPr>
              <w:t>3.本次招标的供货除包括上述产品外，还应包括随机的辅助设备、专用电线电缆、随机软件、技术资料（包括操作手册、使用指南、维修指南和含维修网点在内的服务手册等）、设备运行所必需的随机消耗材料，相应的技术服务与质量保证。（如需）</w:t>
            </w:r>
          </w:p>
          <w:p w14:paraId="47D85893">
            <w:pPr>
              <w:keepNext w:val="0"/>
              <w:keepLines w:val="0"/>
              <w:suppressLineNumbers w:val="0"/>
              <w:spacing w:before="0" w:beforeAutospacing="0" w:afterAutospacing="0" w:line="276" w:lineRule="auto"/>
              <w:ind w:left="0" w:right="0"/>
              <w:rPr>
                <w:rFonts w:hint="eastAsia"/>
              </w:rPr>
            </w:pPr>
            <w:r>
              <w:rPr>
                <w:rFonts w:hint="default"/>
              </w:rPr>
              <w:t>4.本项目的所有软、硬件(如线缆、工具、控制接口硬件模块等，包括未列出而系统实施又必需的软件、硬件)需配齐以构成一套完整实用系统，如有任何遗漏，由供应商补齐。（如需）</w:t>
            </w:r>
          </w:p>
          <w:p w14:paraId="5EC79DB2">
            <w:pPr>
              <w:keepNext w:val="0"/>
              <w:keepLines w:val="0"/>
              <w:suppressLineNumbers w:val="0"/>
              <w:spacing w:before="0" w:beforeAutospacing="0" w:afterAutospacing="0" w:line="276" w:lineRule="auto"/>
              <w:ind w:left="0" w:right="0"/>
              <w:rPr>
                <w:rFonts w:hint="eastAsia"/>
              </w:rPr>
            </w:pPr>
            <w:r>
              <w:rPr>
                <w:rFonts w:hint="default"/>
              </w:rPr>
              <w:t>5.供应商投标报价中需考虑所有产品包装、运输至采购人指定地点的所有费用，其中运输包括货物到达采购人指定地点后搬运至指定点位所产生的车辆、机械、人员等所有费用。</w:t>
            </w:r>
          </w:p>
          <w:p w14:paraId="6C4A0920">
            <w:pPr>
              <w:keepNext w:val="0"/>
              <w:keepLines w:val="0"/>
              <w:suppressLineNumbers w:val="0"/>
              <w:spacing w:before="0" w:beforeAutospacing="0" w:afterAutospacing="0" w:line="276" w:lineRule="auto"/>
              <w:ind w:left="0" w:right="0"/>
              <w:rPr>
                <w:rFonts w:hint="eastAsia"/>
              </w:rPr>
            </w:pPr>
            <w:r>
              <w:rPr>
                <w:rFonts w:hint="eastAsia"/>
              </w:rPr>
              <w:t>现场临时堆放的保护由供应商负责，如需要他人保管的，相关费用由供应商自行承担。</w:t>
            </w:r>
          </w:p>
          <w:p w14:paraId="1886B376">
            <w:pPr>
              <w:keepNext w:val="0"/>
              <w:keepLines w:val="0"/>
              <w:suppressLineNumbers w:val="0"/>
              <w:spacing w:before="0" w:beforeAutospacing="0" w:afterAutospacing="0" w:line="276" w:lineRule="auto"/>
              <w:ind w:left="0" w:right="0"/>
              <w:rPr>
                <w:rFonts w:hint="eastAsia"/>
              </w:rPr>
            </w:pPr>
            <w:r>
              <w:rPr>
                <w:rFonts w:hint="eastAsia"/>
              </w:rPr>
              <w:t>供应商交付的全部货物</w:t>
            </w:r>
            <w:r>
              <w:rPr>
                <w:rFonts w:hint="default"/>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供应商承担。</w:t>
            </w:r>
          </w:p>
          <w:p w14:paraId="63FA0D72">
            <w:pPr>
              <w:keepNext w:val="0"/>
              <w:keepLines w:val="0"/>
              <w:suppressLineNumbers w:val="0"/>
              <w:spacing w:before="0" w:beforeAutospacing="0" w:afterAutospacing="0" w:line="276" w:lineRule="auto"/>
              <w:ind w:left="0" w:right="0"/>
              <w:rPr>
                <w:rFonts w:hint="eastAsia"/>
              </w:rPr>
            </w:pPr>
            <w:r>
              <w:rPr>
                <w:rFonts w:hint="eastAsia"/>
              </w:rPr>
              <w:t>设备包装为使产品不损坏为限在运输过程中造成的损坏均由供应商承担，并保证对设备在运输过程中的保护。</w:t>
            </w:r>
          </w:p>
          <w:p w14:paraId="4B3A0493">
            <w:pPr>
              <w:keepNext w:val="0"/>
              <w:keepLines w:val="0"/>
              <w:suppressLineNumbers w:val="0"/>
              <w:spacing w:before="0" w:beforeAutospacing="0" w:afterAutospacing="0" w:line="276" w:lineRule="auto"/>
              <w:ind w:left="0" w:right="0"/>
              <w:rPr>
                <w:rFonts w:hint="eastAsia"/>
              </w:rPr>
            </w:pPr>
            <w:r>
              <w:rPr>
                <w:rFonts w:hint="default"/>
              </w:rPr>
              <w:t>6.供货时，若提供的设备相关技术参数不符合招标要求、或设备交付后运行三个月内出现任何故障，则供应商须无条件重新更换设备，发生故障的设备由供应商自行处置。重新更换后的设备仍须再次检测，若仍不符合招标要求，则取消该供应商中标资格，并扣除全部履约保证金，重新组织招标。以上所发生的一切费用由该供应商自行承担。</w:t>
            </w:r>
          </w:p>
          <w:p w14:paraId="528B96A8">
            <w:pPr>
              <w:keepNext w:val="0"/>
              <w:keepLines w:val="0"/>
              <w:suppressLineNumbers w:val="0"/>
              <w:spacing w:before="0" w:beforeAutospacing="0" w:afterAutospacing="0" w:line="276" w:lineRule="auto"/>
              <w:ind w:left="0" w:right="0"/>
              <w:rPr>
                <w:rFonts w:hint="eastAsia"/>
              </w:rPr>
            </w:pPr>
            <w:r>
              <w:rPr>
                <w:rFonts w:hint="default"/>
              </w:rPr>
              <w:t>7.上述所有费用均包含在报价中。</w:t>
            </w:r>
          </w:p>
        </w:tc>
      </w:tr>
      <w:tr w14:paraId="5A81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1B7C0FBD">
            <w:pPr>
              <w:keepNext w:val="0"/>
              <w:keepLines w:val="0"/>
              <w:suppressLineNumbers w:val="0"/>
              <w:spacing w:before="0" w:beforeAutospacing="0" w:afterAutospacing="0" w:line="276" w:lineRule="auto"/>
              <w:ind w:left="0" w:right="0"/>
              <w:rPr>
                <w:rFonts w:hint="eastAsia"/>
              </w:rPr>
            </w:pPr>
            <w:r>
              <w:rPr>
                <w:rFonts w:hint="eastAsia"/>
              </w:rPr>
              <w:t>安装调试等要求</w:t>
            </w:r>
          </w:p>
        </w:tc>
        <w:tc>
          <w:tcPr>
            <w:tcW w:w="6883" w:type="dxa"/>
          </w:tcPr>
          <w:p w14:paraId="22C0120C">
            <w:pPr>
              <w:keepNext w:val="0"/>
              <w:keepLines w:val="0"/>
              <w:suppressLineNumbers w:val="0"/>
              <w:spacing w:before="0" w:beforeAutospacing="0" w:afterAutospacing="0" w:line="276" w:lineRule="auto"/>
              <w:ind w:left="0" w:right="0"/>
              <w:rPr>
                <w:rFonts w:hint="eastAsia"/>
              </w:rPr>
            </w:pPr>
            <w:r>
              <w:rPr>
                <w:rFonts w:hint="default"/>
              </w:rPr>
              <w:t>1.供应商在规定时间内完成设备的安装调试、功能测试。如在规定的时间内由于供应商的原因不能完成相应服务的，供应商应承担由此给采购人造成的损失。</w:t>
            </w:r>
          </w:p>
          <w:p w14:paraId="3DD59C75">
            <w:pPr>
              <w:keepNext w:val="0"/>
              <w:keepLines w:val="0"/>
              <w:suppressLineNumbers w:val="0"/>
              <w:spacing w:before="0" w:beforeAutospacing="0" w:afterAutospacing="0" w:line="276" w:lineRule="auto"/>
              <w:ind w:left="0" w:right="0"/>
              <w:rPr>
                <w:rFonts w:hint="eastAsia"/>
              </w:rPr>
            </w:pPr>
            <w:r>
              <w:rPr>
                <w:rFonts w:hint="default"/>
              </w:rPr>
              <w:t>2.安装调试、功能测试应符合国家、地方、本项目行业有关技术规范要求和技术标准。试运转时，所有的软件和硬件必须保证到位。</w:t>
            </w:r>
          </w:p>
          <w:p w14:paraId="66F9002B">
            <w:pPr>
              <w:keepNext w:val="0"/>
              <w:keepLines w:val="0"/>
              <w:suppressLineNumbers w:val="0"/>
              <w:spacing w:before="0" w:beforeAutospacing="0" w:afterAutospacing="0" w:line="276" w:lineRule="auto"/>
              <w:ind w:left="0" w:right="0"/>
              <w:rPr>
                <w:rFonts w:hint="eastAsia"/>
              </w:rPr>
            </w:pPr>
            <w:r>
              <w:rPr>
                <w:rFonts w:hint="default"/>
              </w:rPr>
              <w:t>3.安装调试、功能测试应满足对安装场地和环境的要求。对已完成其他工程的成品保护，若有损坏，应予修复。安装完工，应将现场打扫干净。</w:t>
            </w:r>
          </w:p>
          <w:p w14:paraId="103538B3">
            <w:pPr>
              <w:keepNext w:val="0"/>
              <w:keepLines w:val="0"/>
              <w:suppressLineNumbers w:val="0"/>
              <w:spacing w:before="0" w:beforeAutospacing="0" w:afterAutospacing="0" w:line="276" w:lineRule="auto"/>
              <w:ind w:left="0" w:right="0"/>
              <w:rPr>
                <w:rFonts w:hint="eastAsia"/>
              </w:rPr>
            </w:pPr>
            <w:r>
              <w:rPr>
                <w:rFonts w:hint="default"/>
              </w:rPr>
              <w:t>4.安装调试完毕后，如有需要与采购单位现有部分设备正常连接的，需要能在其功能范围内确保现有设备安全、稳定运行。</w:t>
            </w:r>
          </w:p>
          <w:p w14:paraId="71AD02AB">
            <w:pPr>
              <w:keepNext w:val="0"/>
              <w:keepLines w:val="0"/>
              <w:suppressLineNumbers w:val="0"/>
              <w:spacing w:before="0" w:beforeAutospacing="0" w:afterAutospacing="0" w:line="276" w:lineRule="auto"/>
              <w:ind w:left="0" w:right="0"/>
              <w:rPr>
                <w:rFonts w:hint="eastAsia"/>
              </w:rPr>
            </w:pPr>
            <w:r>
              <w:rPr>
                <w:rFonts w:hint="default"/>
              </w:rPr>
              <w:t>5.上述服务费用包含在报价中。</w:t>
            </w:r>
          </w:p>
        </w:tc>
      </w:tr>
      <w:tr w14:paraId="593D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5DCE5CEE">
            <w:pPr>
              <w:keepNext w:val="0"/>
              <w:keepLines w:val="0"/>
              <w:suppressLineNumbers w:val="0"/>
              <w:spacing w:before="0" w:beforeAutospacing="0" w:afterAutospacing="0"/>
              <w:ind w:left="0" w:right="0"/>
              <w:rPr>
                <w:rFonts w:hint="eastAsia"/>
              </w:rPr>
            </w:pPr>
            <w:r>
              <w:rPr>
                <w:rFonts w:hint="eastAsia"/>
              </w:rPr>
              <w:t>付款方式</w:t>
            </w:r>
          </w:p>
        </w:tc>
        <w:tc>
          <w:tcPr>
            <w:tcW w:w="6883" w:type="dxa"/>
            <w:vAlign w:val="center"/>
          </w:tcPr>
          <w:p w14:paraId="30928B13">
            <w:pPr>
              <w:keepNext w:val="0"/>
              <w:keepLines w:val="0"/>
              <w:suppressLineNumbers w:val="0"/>
              <w:spacing w:before="0" w:beforeAutospacing="0" w:afterAutospacing="0"/>
              <w:ind w:left="0" w:right="0"/>
              <w:rPr>
                <w:rFonts w:hint="default" w:eastAsiaTheme="minorEastAsia"/>
                <w:lang w:val="en-US" w:eastAsia="zh-CN"/>
              </w:rPr>
            </w:pPr>
            <w:r>
              <w:rPr>
                <w:rFonts w:hint="eastAsia"/>
                <w:lang w:val="en-US" w:eastAsia="zh-CN"/>
              </w:rPr>
              <w:t>验收合格后一次性付款。</w:t>
            </w:r>
          </w:p>
        </w:tc>
      </w:tr>
      <w:tr w14:paraId="6713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156F1F28">
            <w:pPr>
              <w:keepNext w:val="0"/>
              <w:keepLines w:val="0"/>
              <w:suppressLineNumbers w:val="0"/>
              <w:spacing w:before="0" w:beforeAutospacing="0" w:afterAutospacing="0"/>
              <w:ind w:left="0" w:right="0"/>
              <w:rPr>
                <w:rFonts w:hint="eastAsia"/>
              </w:rPr>
            </w:pPr>
            <w:r>
              <w:rPr>
                <w:rFonts w:hint="eastAsia"/>
              </w:rPr>
              <w:t>履约保证金</w:t>
            </w:r>
          </w:p>
        </w:tc>
        <w:tc>
          <w:tcPr>
            <w:tcW w:w="6883" w:type="dxa"/>
            <w:vAlign w:val="center"/>
          </w:tcPr>
          <w:p w14:paraId="7265A7D2">
            <w:pPr>
              <w:keepNext w:val="0"/>
              <w:keepLines w:val="0"/>
              <w:suppressLineNumbers w:val="0"/>
              <w:spacing w:before="0" w:beforeAutospacing="0" w:afterAutospacing="0"/>
              <w:ind w:left="0" w:right="0"/>
              <w:rPr>
                <w:rFonts w:hint="eastAsia" w:eastAsiaTheme="minorEastAsia"/>
                <w:lang w:val="en-US" w:eastAsia="zh-CN"/>
              </w:rPr>
            </w:pPr>
            <w:r>
              <w:rPr>
                <w:rFonts w:hint="eastAsia"/>
                <w:lang w:val="en-US" w:eastAsia="zh-CN"/>
              </w:rPr>
              <w:t>无</w:t>
            </w:r>
          </w:p>
        </w:tc>
      </w:tr>
    </w:tbl>
    <w:p w14:paraId="7111D1AD">
      <w:pPr>
        <w:spacing w:line="276" w:lineRule="auto"/>
        <w:rPr>
          <w:rFonts w:hint="eastAsia"/>
          <w:b/>
        </w:rPr>
      </w:pPr>
      <w:bookmarkStart w:id="4" w:name="_Toc417054391"/>
      <w:bookmarkStart w:id="5" w:name="_Toc18877"/>
      <w:bookmarkStart w:id="6" w:name="_Toc417054474"/>
      <w:bookmarkStart w:id="7" w:name="_Toc7858"/>
      <w:bookmarkStart w:id="8" w:name="_Toc432621837"/>
      <w:r>
        <w:rPr>
          <w:rFonts w:hint="eastAsia"/>
          <w:b/>
        </w:rPr>
        <w:t>五、</w:t>
      </w:r>
      <w:bookmarkEnd w:id="4"/>
      <w:bookmarkEnd w:id="5"/>
      <w:bookmarkEnd w:id="6"/>
      <w:bookmarkEnd w:id="7"/>
      <w:bookmarkEnd w:id="8"/>
      <w:r>
        <w:rPr>
          <w:rFonts w:hint="eastAsia"/>
          <w:b/>
        </w:rPr>
        <w:t>重要说明</w:t>
      </w:r>
    </w:p>
    <w:p w14:paraId="35052A6A">
      <w:pPr>
        <w:spacing w:line="276" w:lineRule="auto"/>
        <w:rPr>
          <w:rFonts w:hint="eastAsia"/>
        </w:rPr>
      </w:pPr>
      <w:r>
        <w:rPr>
          <w:rFonts w:hint="eastAsia"/>
        </w:rPr>
        <w:t>1.</w:t>
      </w:r>
      <w:r>
        <w:t xml:space="preserve"> </w:t>
      </w:r>
      <w:r>
        <w:rPr>
          <w:rFonts w:hint="eastAsia"/>
        </w:rPr>
        <w:t>供应商必须根据采购人提供的信息予以响应，质量必须达到或高于采购的要求。</w:t>
      </w:r>
    </w:p>
    <w:p w14:paraId="4FBA8F61">
      <w:pPr>
        <w:spacing w:line="276" w:lineRule="auto"/>
        <w:rPr>
          <w:rFonts w:hint="eastAsia"/>
        </w:rPr>
      </w:pPr>
      <w:r>
        <w:rPr>
          <w:rFonts w:hint="eastAsia"/>
        </w:rPr>
        <w:t>2. 采购文件中的技术参数只是采购人提出的一些原则性参数，并不是详尽的要求，供应商有责任完善对提供货物的品牌、参数说明或相关技术规格。</w:t>
      </w:r>
    </w:p>
    <w:p w14:paraId="7DF76C74">
      <w:pPr>
        <w:spacing w:line="276" w:lineRule="auto"/>
        <w:rPr>
          <w:rFonts w:hint="eastAsia"/>
        </w:rPr>
      </w:pPr>
      <w:r>
        <w:rPr>
          <w:rFonts w:hint="eastAsia"/>
        </w:rPr>
        <w:t>3. 供应商提供的货物在使用过程中因质量问题影响采购人的正常使用，要负相应责任，并向采购人赔偿损失，采购人有权向相关管理部门进行投诉。</w:t>
      </w:r>
    </w:p>
    <w:p w14:paraId="46D697A7">
      <w:pPr>
        <w:spacing w:line="276" w:lineRule="auto"/>
        <w:rPr>
          <w:rFonts w:hint="eastAsia"/>
        </w:rPr>
      </w:pPr>
      <w:r>
        <w:rPr>
          <w:rFonts w:hint="eastAsia"/>
        </w:rPr>
        <w:t>4. 供应商须保证所提供的产品包括相关附件为相应厂家原装正品，符合国家有关规定。供应商须保证所提供产品具有合法的版权或使用权，应由供应商负责，采购人不承担责任。</w:t>
      </w:r>
    </w:p>
    <w:p w14:paraId="383D3C5A">
      <w:pPr>
        <w:spacing w:line="276" w:lineRule="auto"/>
        <w:rPr>
          <w:rFonts w:hint="eastAsia"/>
        </w:rPr>
      </w:pPr>
    </w:p>
    <w:p w14:paraId="607BA7CC">
      <w:pPr>
        <w:spacing w:line="276" w:lineRule="auto"/>
        <w:rPr>
          <w:rFonts w:hint="eastAsia"/>
        </w:rPr>
      </w:pPr>
      <w:bookmarkStart w:id="9" w:name="_GoBack"/>
      <w:bookmarkEnd w:id="9"/>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00"/>
    <w:family w:val="auto"/>
    <w:pitch w:val="default"/>
    <w:sig w:usb0="00000000" w:usb1="00000000" w:usb2="00000000" w:usb3="00000000" w:csb0="00000000" w:csb1="00000000"/>
  </w:font>
  <w:font w:name="汉仪仿宋KW">
    <w:altName w:val="仿宋"/>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65B"/>
    <w:rsid w:val="00015659"/>
    <w:rsid w:val="00025F80"/>
    <w:rsid w:val="00025F84"/>
    <w:rsid w:val="00096723"/>
    <w:rsid w:val="000B7981"/>
    <w:rsid w:val="001030E7"/>
    <w:rsid w:val="001C6260"/>
    <w:rsid w:val="00202628"/>
    <w:rsid w:val="00233ADF"/>
    <w:rsid w:val="0024475C"/>
    <w:rsid w:val="00255CF9"/>
    <w:rsid w:val="00274470"/>
    <w:rsid w:val="002D4F82"/>
    <w:rsid w:val="002D7801"/>
    <w:rsid w:val="00346DE5"/>
    <w:rsid w:val="003D4FD3"/>
    <w:rsid w:val="00437C4E"/>
    <w:rsid w:val="00506A94"/>
    <w:rsid w:val="00590FA6"/>
    <w:rsid w:val="005A19AA"/>
    <w:rsid w:val="005E550C"/>
    <w:rsid w:val="005F220E"/>
    <w:rsid w:val="00636214"/>
    <w:rsid w:val="00751769"/>
    <w:rsid w:val="007A782C"/>
    <w:rsid w:val="007B1414"/>
    <w:rsid w:val="007E1D70"/>
    <w:rsid w:val="008276F4"/>
    <w:rsid w:val="0084003E"/>
    <w:rsid w:val="00855519"/>
    <w:rsid w:val="0087054C"/>
    <w:rsid w:val="008A4934"/>
    <w:rsid w:val="008D5F90"/>
    <w:rsid w:val="00914DC2"/>
    <w:rsid w:val="00940390"/>
    <w:rsid w:val="00981284"/>
    <w:rsid w:val="009B359C"/>
    <w:rsid w:val="009D0509"/>
    <w:rsid w:val="00A02E7B"/>
    <w:rsid w:val="00A06B92"/>
    <w:rsid w:val="00A30E8B"/>
    <w:rsid w:val="00AA0FC9"/>
    <w:rsid w:val="00B43932"/>
    <w:rsid w:val="00B92AAA"/>
    <w:rsid w:val="00C510A7"/>
    <w:rsid w:val="00CD1181"/>
    <w:rsid w:val="00D25423"/>
    <w:rsid w:val="00E13F70"/>
    <w:rsid w:val="00E5667F"/>
    <w:rsid w:val="00E62E6B"/>
    <w:rsid w:val="00EB6807"/>
    <w:rsid w:val="00ED22B8"/>
    <w:rsid w:val="00F01456"/>
    <w:rsid w:val="00F3465B"/>
    <w:rsid w:val="00F358EC"/>
    <w:rsid w:val="00F5552B"/>
    <w:rsid w:val="00FC39FA"/>
    <w:rsid w:val="00FD7554"/>
    <w:rsid w:val="03A82039"/>
    <w:rsid w:val="0C711B61"/>
    <w:rsid w:val="0CC53C5B"/>
    <w:rsid w:val="1324423B"/>
    <w:rsid w:val="13B7B555"/>
    <w:rsid w:val="13F05A62"/>
    <w:rsid w:val="1BD7BBDE"/>
    <w:rsid w:val="1C0A1B2B"/>
    <w:rsid w:val="2C264D2D"/>
    <w:rsid w:val="350C1EBC"/>
    <w:rsid w:val="35754C97"/>
    <w:rsid w:val="37570379"/>
    <w:rsid w:val="3D632551"/>
    <w:rsid w:val="42625CDA"/>
    <w:rsid w:val="4DA86801"/>
    <w:rsid w:val="4DC66329"/>
    <w:rsid w:val="4E4560E2"/>
    <w:rsid w:val="53364A88"/>
    <w:rsid w:val="574134AB"/>
    <w:rsid w:val="5BE01A82"/>
    <w:rsid w:val="5BEF4409"/>
    <w:rsid w:val="5CA92F61"/>
    <w:rsid w:val="684B418A"/>
    <w:rsid w:val="68E5013A"/>
    <w:rsid w:val="696F36D6"/>
    <w:rsid w:val="6C5E7CAC"/>
    <w:rsid w:val="6CCA0A97"/>
    <w:rsid w:val="6CF070AE"/>
    <w:rsid w:val="6E2215A0"/>
    <w:rsid w:val="6EA049AC"/>
    <w:rsid w:val="6F416116"/>
    <w:rsid w:val="70335C2F"/>
    <w:rsid w:val="70C930FD"/>
    <w:rsid w:val="75241AF9"/>
    <w:rsid w:val="761C0F14"/>
    <w:rsid w:val="76675AC0"/>
    <w:rsid w:val="7B4C1BE3"/>
    <w:rsid w:val="7BB46E1D"/>
    <w:rsid w:val="BFDAAC91"/>
    <w:rsid w:val="CBF11565"/>
    <w:rsid w:val="D7DA2B63"/>
    <w:rsid w:val="F7EFA3D6"/>
    <w:rsid w:val="FCE674BD"/>
  </w:rsids>
  <m:mathPr>
    <m:mathFont m:val="Cambria Math"/>
    <m:brkBin m:val="before"/>
    <m:brkBinSub m:val="--"/>
    <m:smallFrac m:val="1"/>
    <m:dispDef/>
    <m:lMargin m:val="1440"/>
    <m:rMargin m:val="144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pPr>
      <w:keepNext w:val="0"/>
      <w:keepLines w:val="0"/>
      <w:widowControl/>
      <w:suppressLineNumbers w:val="0"/>
      <w:spacing w:before="0" w:beforeAutospacing="0" w:after="160" w:afterAutospacing="0" w:line="276" w:lineRule="auto"/>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批注框文本 字符"/>
    <w:basedOn w:val="9"/>
    <w:link w:val="3"/>
    <w:semiHidden/>
    <w:qFormat/>
    <w:uiPriority w:val="99"/>
    <w:rPr>
      <w:sz w:val="18"/>
      <w:szCs w:val="18"/>
    </w:rPr>
  </w:style>
  <w:style w:type="character" w:customStyle="1" w:styleId="17">
    <w:name w:val="font101"/>
    <w:basedOn w:val="9"/>
    <w:qFormat/>
    <w:uiPriority w:val="0"/>
    <w:rPr>
      <w:rFonts w:ascii="MS Gothic" w:hAnsi="MS Gothic" w:eastAsia="MS Gothic" w:cs="MS Gothic"/>
      <w:color w:val="000000"/>
      <w:sz w:val="22"/>
      <w:szCs w:val="22"/>
      <w:u w:val="none"/>
    </w:rPr>
  </w:style>
  <w:style w:type="character" w:customStyle="1" w:styleId="18">
    <w:name w:val="font21"/>
    <w:basedOn w:val="9"/>
    <w:qFormat/>
    <w:uiPriority w:val="0"/>
    <w:rPr>
      <w:rFonts w:hint="eastAsia" w:ascii="宋体" w:hAnsi="宋体" w:eastAsia="宋体" w:cs="宋体"/>
      <w:color w:val="000000"/>
      <w:sz w:val="22"/>
      <w:szCs w:val="22"/>
      <w:u w:val="none"/>
    </w:rPr>
  </w:style>
  <w:style w:type="character" w:customStyle="1" w:styleId="19">
    <w:name w:val="font91"/>
    <w:basedOn w:val="9"/>
    <w:qFormat/>
    <w:uiPriority w:val="0"/>
    <w:rPr>
      <w:rFonts w:hint="default" w:ascii="Times New Roman" w:hAnsi="Times New Roman" w:cs="Times New Roman"/>
      <w:color w:val="000000"/>
      <w:sz w:val="22"/>
      <w:szCs w:val="22"/>
      <w:u w:val="none"/>
    </w:rPr>
  </w:style>
  <w:style w:type="character" w:customStyle="1" w:styleId="20">
    <w:name w:val="font41"/>
    <w:basedOn w:val="9"/>
    <w:qFormat/>
    <w:uiPriority w:val="0"/>
    <w:rPr>
      <w:rFonts w:hint="default"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5214</Words>
  <Characters>5911</Characters>
  <Lines>41</Lines>
  <Paragraphs>11</Paragraphs>
  <TotalTime>12</TotalTime>
  <ScaleCrop>false</ScaleCrop>
  <LinksUpToDate>false</LinksUpToDate>
  <CharactersWithSpaces>6017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2024-05-28T18:37:00Z</dcterms:created>
  <dc:creator>Dell</dc:creator>
  <cp:lastModifiedBy>一撇一捺的人生</cp:lastModifiedBy>
  <cp:lastPrinted>2026-09-07T17:50:00Z</cp:lastPrinted>
  <dcterms:modified xsi:type="dcterms:W3CDTF">2026-09-08T02:47:20Z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eyJoZGlkIjoiODY3NGQ4N2U4ZDYyMzgwMzQwNTRlZGU5MDgyYTNjNTEiLCJ1c2VySWQiOiIzNDg4MDAzODEifQ==</vt:lpwstr>
  </property>
  <property fmtid="{D5CDD505-2E9C-101B-9397-08002B2CF9AE}" pid="3" name="KSOProductBuildVer">
    <vt:lpwstr>2052-12.1.0.28043</vt:lpwstr>
  </property>
  <property fmtid="{D5CDD505-2E9C-101B-9397-08002B2CF9AE}" pid="4" name="ICV">
    <vt:lpwstr>44F96A203BFB4990A98B7439A8D527E2_13</vt:lpwstr>
  </property>
</Properties>
</file>