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A9D87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A2A3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35659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35659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浙江水利水电学院工程控制咨询与结算审核服务项目报价单</w:t>
      </w:r>
    </w:p>
    <w:p w14:paraId="5400E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535659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102E4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3565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3565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项目名称：2025年度高校基础设施提质工程项目</w:t>
      </w:r>
    </w:p>
    <w:p w14:paraId="0BC996D1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375" w:tblpY="256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85"/>
        <w:gridCol w:w="2310"/>
        <w:gridCol w:w="3135"/>
        <w:gridCol w:w="1380"/>
      </w:tblGrid>
      <w:tr w14:paraId="2B24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80" w:type="dxa"/>
            <w:noWrap w:val="0"/>
            <w:vAlign w:val="center"/>
          </w:tcPr>
          <w:p w14:paraId="4EA8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63211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310" w:type="dxa"/>
            <w:noWrap w:val="0"/>
            <w:vAlign w:val="center"/>
          </w:tcPr>
          <w:p w14:paraId="6BC89C0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报价依据</w:t>
            </w:r>
          </w:p>
        </w:tc>
        <w:tc>
          <w:tcPr>
            <w:tcW w:w="3135" w:type="dxa"/>
            <w:noWrap w:val="0"/>
            <w:vAlign w:val="center"/>
          </w:tcPr>
          <w:p w14:paraId="6B36BBA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项目报价</w:t>
            </w:r>
          </w:p>
        </w:tc>
        <w:tc>
          <w:tcPr>
            <w:tcW w:w="1380" w:type="dxa"/>
            <w:noWrap w:val="0"/>
            <w:vAlign w:val="center"/>
          </w:tcPr>
          <w:p w14:paraId="216F8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服务期限</w:t>
            </w:r>
          </w:p>
        </w:tc>
      </w:tr>
      <w:tr w14:paraId="1317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780" w:type="dxa"/>
            <w:noWrap w:val="0"/>
            <w:vAlign w:val="center"/>
          </w:tcPr>
          <w:p w14:paraId="59B71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1A06E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工程控制咨询与结算审核服务</w:t>
            </w:r>
          </w:p>
        </w:tc>
        <w:tc>
          <w:tcPr>
            <w:tcW w:w="2310" w:type="dxa"/>
            <w:noWrap w:val="0"/>
            <w:vAlign w:val="center"/>
          </w:tcPr>
          <w:p w14:paraId="319EA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 xml:space="preserve">根据浙价服（2009）84号《关于进一步完善工程造价咨询服务收费的通知》相关规定，按照《浙江省建设工程造价咨询服务基准收费村准》收费标准的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%</w:t>
            </w:r>
          </w:p>
        </w:tc>
        <w:tc>
          <w:tcPr>
            <w:tcW w:w="3135" w:type="dxa"/>
            <w:noWrap w:val="0"/>
            <w:vAlign w:val="center"/>
          </w:tcPr>
          <w:p w14:paraId="7AADDDC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 xml:space="preserve">小写：¥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元</w:t>
            </w:r>
          </w:p>
          <w:p w14:paraId="46264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BAC57D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大写：人民币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元</w:t>
            </w:r>
          </w:p>
          <w:p w14:paraId="01A2E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3827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2BEC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51290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A8B5B76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注：1.大写金额与小写金额不一致时，以大写金额为准。</w:t>
      </w:r>
    </w:p>
    <w:p w14:paraId="4B6F6AAE">
      <w:pPr>
        <w:numPr>
          <w:ilvl w:val="0"/>
          <w:numId w:val="1"/>
        </w:numPr>
        <w:ind w:left="54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供应商需按本表格式填写，不得自行更改。</w:t>
      </w:r>
    </w:p>
    <w:p w14:paraId="3A8C1090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</w:p>
    <w:p w14:paraId="0B7CE6FC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供应商全称（盖单位公章）:</w:t>
      </w:r>
    </w:p>
    <w:p w14:paraId="37E58061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法定代表人或授权代表（签字或盖章）：</w:t>
      </w:r>
    </w:p>
    <w:p w14:paraId="5BB1BA83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联系电话：</w:t>
      </w:r>
    </w:p>
    <w:p w14:paraId="66170F6F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  <w:t>日期：</w:t>
      </w:r>
    </w:p>
    <w:p w14:paraId="0A5EAEB8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</w:p>
    <w:p w14:paraId="5B1DE39C">
      <w:pPr>
        <w:numPr>
          <w:ilvl w:val="0"/>
          <w:numId w:val="0"/>
        </w:numPr>
        <w:ind w:left="5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 w:bidi="ar"/>
        </w:rPr>
      </w:pPr>
    </w:p>
    <w:p w14:paraId="7951CE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5B523"/>
    <w:multiLevelType w:val="singleLevel"/>
    <w:tmpl w:val="0435B523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2025-05-12T01:21:25Z</dcterms:created>
  <dc:creator>1603</dc:creator>
  <cp:lastModifiedBy>一撇一捺的人生</cp:lastModifiedBy>
  <dcterms:modified xsi:type="dcterms:W3CDTF">2025-05-12T01:21:33Z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eyJoZGlkIjoiODY3NGQ4N2U4ZDYyMzgwMzQwNTRlZGU5MDgyYTNjNTEiLCJ1c2VySWQiOiIzNDg4MDAzODEifQ==</vt:lpwstr>
  </property>
  <property fmtid="{D5CDD505-2E9C-101B-9397-08002B2CF9AE}" pid="4" name="ICV">
    <vt:lpwstr>4DCFC712EBB447AE8939232E0A553182_12</vt:lpwstr>
  </property>
</Properties>
</file>